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5C063F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5FC91B5">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p>
        </w:tc>
        <w:tc>
          <w:tcPr>
            <w:tcW w:w="8855" w:type="dxa"/>
          </w:tcPr>
          <w:p w14:paraId="656E858C">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11.020</w:t>
            </w:r>
            <w:r>
              <w:rPr>
                <w:rFonts w:ascii="黑体" w:hAnsi="黑体" w:eastAsia="黑体"/>
                <w:sz w:val="21"/>
                <w:szCs w:val="21"/>
              </w:rPr>
              <w:fldChar w:fldCharType="end"/>
            </w:r>
            <w:bookmarkEnd w:id="0"/>
          </w:p>
        </w:tc>
      </w:tr>
      <w:tr w14:paraId="689E77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6CF286F">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CCS</w:t>
            </w:r>
          </w:p>
        </w:tc>
        <w:tc>
          <w:tcPr>
            <w:tcW w:w="8855" w:type="dxa"/>
          </w:tcPr>
          <w:p w14:paraId="044F1327">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C 05</w:t>
            </w:r>
            <w:r>
              <w:rPr>
                <w:rFonts w:ascii="黑体" w:hAnsi="黑体" w:eastAsia="黑体"/>
                <w:sz w:val="21"/>
                <w:szCs w:val="21"/>
              </w:rPr>
              <w:fldChar w:fldCharType="end"/>
            </w:r>
            <w:bookmarkEnd w:id="1"/>
          </w:p>
        </w:tc>
      </w:tr>
    </w:tbl>
    <w:tbl>
      <w:tblPr>
        <w:tblStyle w:val="29"/>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0F7C32DE">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224D6DDB">
            <w:pPr>
              <w:pStyle w:val="51"/>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14:paraId="2AB82CFE">
      <w:pPr>
        <w:pStyle w:val="52"/>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76A2C48B">
      <w:pPr>
        <w:pStyle w:val="197"/>
        <w:framePr/>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32/T</w:t>
      </w:r>
      <w:r>
        <w:fldChar w:fldCharType="end"/>
      </w:r>
      <w:bookmarkEnd w:id="5"/>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5D5AF225">
      <w:pPr>
        <w:pStyle w:val="198"/>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050853C8">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2700020</wp:posOffset>
                </wp:positionV>
                <wp:extent cx="6120130" cy="0"/>
                <wp:effectExtent l="0" t="0" r="1397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d/iPM2AAA&#10;AAwBAAAPAAAAAAAAAAEAIAAAACIAAABkcnMvZG93bnJldi54bWxQSwECFAAUAAAACACHTuJA4fvj&#10;GOUBAACsAwAADgAAAAAAAAABACAAAAAnAQAAZHJzL2Uyb0RvYy54bWxQSwUGAAAAAAYABgBZAQAA&#10;fgUAAAAA&#10;">
                <v:fill on="f" focussize="0,0"/>
                <v:stroke color="#000000" joinstyle="round"/>
                <v:imagedata o:title=""/>
                <o:lock v:ext="edit" aspectratio="f"/>
              </v:line>
            </w:pict>
          </mc:Fallback>
        </mc:AlternateContent>
      </w:r>
    </w:p>
    <w:p w14:paraId="2B82C712">
      <w:pPr>
        <w:pStyle w:val="52"/>
        <w:framePr w:w="9639" w:h="6976" w:hRule="exact" w:hSpace="0" w:vSpace="0" w:wrap="around" w:hAnchor="page" w:y="6408"/>
        <w:jc w:val="center"/>
        <w:rPr>
          <w:rFonts w:ascii="黑体" w:hAnsi="黑体" w:eastAsia="黑体"/>
          <w:b w:val="0"/>
          <w:bCs w:val="0"/>
          <w:w w:val="100"/>
        </w:rPr>
      </w:pPr>
    </w:p>
    <w:p w14:paraId="531BC5D8">
      <w:pPr>
        <w:pStyle w:val="199"/>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预防接种技术管理规范</w:t>
      </w:r>
      <w:r>
        <w:cr/>
      </w:r>
      <w:r>
        <w:t>第1部分：预防接种门诊建设</w:t>
      </w:r>
      <w:r>
        <w:fldChar w:fldCharType="end"/>
      </w:r>
      <w:bookmarkEnd w:id="9"/>
    </w:p>
    <w:p w14:paraId="6B81D42C">
      <w:pPr>
        <w:framePr w:w="9639" w:h="6974" w:hRule="exact" w:wrap="around" w:vAnchor="page" w:hAnchor="page" w:x="1419" w:y="6408" w:anchorLock="1"/>
        <w:ind w:left="-1418"/>
      </w:pPr>
    </w:p>
    <w:p w14:paraId="6EB57A9E">
      <w:pPr>
        <w:pStyle w:val="127"/>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Principles of Technical Regulation and Management of Vaccination</w:t>
      </w:r>
    </w:p>
    <w:p w14:paraId="432DE91F">
      <w:pPr>
        <w:pStyle w:val="127"/>
        <w:framePr w:w="9639" w:h="6974" w:hRule="exact" w:wrap="around" w:vAnchor="page" w:hAnchor="page" w:x="1419" w:y="6408" w:anchorLock="1"/>
        <w:textAlignment w:val="bottom"/>
        <w:rPr>
          <w:rFonts w:eastAsia="黑体"/>
          <w:szCs w:val="28"/>
        </w:rPr>
      </w:pPr>
      <w:r>
        <w:rPr>
          <w:rFonts w:eastAsia="黑体"/>
          <w:szCs w:val="28"/>
        </w:rPr>
        <w:t>Part</w:t>
      </w:r>
      <w:r>
        <w:rPr>
          <w:rFonts w:hint="eastAsia" w:eastAsia="黑体"/>
          <w:szCs w:val="28"/>
        </w:rPr>
        <w:t xml:space="preserve"> </w:t>
      </w:r>
      <w:r>
        <w:rPr>
          <w:rFonts w:eastAsia="黑体"/>
          <w:szCs w:val="28"/>
        </w:rPr>
        <w:t>1</w:t>
      </w:r>
      <w:r>
        <w:rPr>
          <w:rFonts w:hint="eastAsia" w:eastAsia="黑体"/>
          <w:szCs w:val="28"/>
        </w:rPr>
        <w:t>：</w:t>
      </w:r>
      <w:r>
        <w:rPr>
          <w:rFonts w:eastAsia="黑体"/>
          <w:szCs w:val="28"/>
        </w:rPr>
        <w:t xml:space="preserve">Construction of vaccination clinic </w:t>
      </w:r>
      <w:r>
        <w:rPr>
          <w:rFonts w:eastAsia="黑体"/>
          <w:szCs w:val="28"/>
        </w:rPr>
        <w:fldChar w:fldCharType="end"/>
      </w:r>
      <w:bookmarkEnd w:id="10"/>
    </w:p>
    <w:p w14:paraId="53552F7D">
      <w:pPr>
        <w:framePr w:w="9639" w:h="6974" w:hRule="exact" w:wrap="around" w:vAnchor="page" w:hAnchor="page" w:x="1419" w:y="6408" w:anchorLock="1"/>
        <w:spacing w:line="760" w:lineRule="exact"/>
        <w:ind w:left="-1418"/>
      </w:pPr>
    </w:p>
    <w:p w14:paraId="060BB777">
      <w:pPr>
        <w:pStyle w:val="127"/>
        <w:framePr w:w="9639" w:h="6974" w:hRule="exact" w:wrap="around" w:vAnchor="page" w:hAnchor="page" w:x="1419" w:y="6408" w:anchorLock="1"/>
        <w:textAlignment w:val="bottom"/>
        <w:rPr>
          <w:rFonts w:eastAsia="黑体"/>
          <w:szCs w:val="28"/>
        </w:rPr>
      </w:pPr>
    </w:p>
    <w:p w14:paraId="0A89F6AC">
      <w:pPr>
        <w:pStyle w:val="12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69C8DEED">
      <w:pPr>
        <w:pStyle w:val="127"/>
        <w:framePr w:w="9639" w:h="6974" w:hRule="exact" w:wrap="around" w:vAnchor="page" w:hAnchor="page" w:x="1419" w:y="6408" w:anchorLock="1"/>
        <w:spacing w:before="180" w:line="240" w:lineRule="atLeast"/>
        <w:textAlignment w:val="bottom"/>
        <w:rPr>
          <w:sz w:val="21"/>
          <w:szCs w:val="28"/>
        </w:rPr>
      </w:pPr>
    </w:p>
    <w:p w14:paraId="5A1D1E03">
      <w:pPr>
        <w:pStyle w:val="127"/>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14:paraId="2A1532DB">
      <w:pPr>
        <w:pStyle w:val="195"/>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2024</w:t>
      </w:r>
      <w:r>
        <w:rPr>
          <w:rFonts w:ascii="黑体"/>
        </w:rPr>
        <w:fldChar w:fldCharType="end"/>
      </w:r>
      <w:bookmarkEnd w:id="13"/>
      <w:r>
        <w:rPr>
          <w:rFonts w:ascii="黑体"/>
        </w:rPr>
        <w:t>-</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ascii="黑体"/>
        </w:rPr>
        <w:t>-</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14:paraId="0A4CC644">
      <w:pPr>
        <w:pStyle w:val="196"/>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2024</w:t>
      </w:r>
      <w:r>
        <w:rPr>
          <w:rFonts w:ascii="黑体"/>
        </w:rPr>
        <w:fldChar w:fldCharType="end"/>
      </w:r>
      <w:bookmarkEnd w:id="16"/>
      <w:r>
        <w:rPr>
          <w:rFonts w:ascii="黑体"/>
        </w:rPr>
        <w:t>-</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ascii="黑体"/>
        </w:rPr>
        <w:t>-</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14:paraId="3E5ED5DA">
      <w:pPr>
        <w:pStyle w:val="153"/>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江苏省市场监督管理局</w:t>
      </w:r>
      <w:r>
        <w:rPr>
          <w:rFonts w:hAnsi="黑体"/>
          <w:w w:val="100"/>
          <w:sz w:val="28"/>
        </w:rPr>
        <w:fldChar w:fldCharType="end"/>
      </w:r>
      <w:bookmarkEnd w:id="19"/>
      <w:r>
        <w:rPr>
          <w:rFonts w:ascii="Times New Roman"/>
          <w:w w:val="100"/>
          <w:sz w:val="28"/>
        </w:rPr>
        <w:t>  </w:t>
      </w:r>
      <w:r>
        <w:rPr>
          <w:rStyle w:val="231"/>
          <w:rFonts w:hint="eastAsia" w:hAnsi="黑体"/>
          <w:position w:val="0"/>
        </w:rPr>
        <w:t>发</w:t>
      </w:r>
      <w:r>
        <w:rPr>
          <w:rStyle w:val="231"/>
          <w:rFonts w:hint="eastAsia" w:hAnsi="黑体"/>
          <w:spacing w:val="0"/>
          <w:position w:val="0"/>
        </w:rPr>
        <w:t>布</w:t>
      </w:r>
    </w:p>
    <w:p w14:paraId="737E6433">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9252585</wp:posOffset>
                </wp:positionV>
                <wp:extent cx="6120130" cy="0"/>
                <wp:effectExtent l="0" t="0" r="1397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5qdGL1wAAAA4B&#10;AAAPAAAAAAAAAAEAIAAAACIAAABkcnMvZG93bnJldi54bWxQSwECFAAUAAAACACHTuJAAzUM5uMB&#10;AACqAwAADgAAAAAAAAABACAAAAAmAQAAZHJzL2Uyb0RvYy54bWxQSwUGAAAAAAYABgBZAQAAewUA&#10;AAAA&#10;">
                <v:fill on="f" focussize="0,0"/>
                <v:stroke color="#000000" joinstyle="round"/>
                <v:imagedata o:title=""/>
                <o:lock v:ext="edit" aspectratio="f"/>
                <w10:anchorlock/>
              </v:line>
            </w:pict>
          </mc:Fallback>
        </mc:AlternateContent>
      </w:r>
    </w:p>
    <w:p w14:paraId="213FCDA3">
      <w:pPr>
        <w:pStyle w:val="93"/>
        <w:spacing w:after="468"/>
      </w:pPr>
      <w:bookmarkStart w:id="20" w:name="BookMark1"/>
      <w:bookmarkStart w:id="21" w:name="_Toc127349382"/>
      <w:bookmarkStart w:id="22" w:name="_Toc164089818"/>
      <w:bookmarkStart w:id="23" w:name="_Toc164083546"/>
      <w:bookmarkStart w:id="24" w:name="_Toc164090106"/>
      <w:bookmarkStart w:id="25" w:name="_Toc164150062"/>
      <w:bookmarkStart w:id="26" w:name="_Toc164154398"/>
      <w:bookmarkStart w:id="27" w:name="_Toc164083612"/>
      <w:bookmarkStart w:id="28" w:name="_Toc127349409"/>
      <w:bookmarkStart w:id="29" w:name="_Toc163811049"/>
      <w:bookmarkStart w:id="30" w:name="_Toc164084611"/>
      <w:bookmarkStart w:id="31" w:name="_Toc164090216"/>
      <w:bookmarkStart w:id="32" w:name="_Toc164089086"/>
      <w:bookmarkStart w:id="33" w:name="_Toc164089672"/>
      <w:bookmarkStart w:id="34" w:name="_Toc166837359"/>
      <w:bookmarkStart w:id="35" w:name="_Toc166253756"/>
      <w:bookmarkStart w:id="36" w:name="_Toc164178109"/>
      <w:bookmarkStart w:id="37" w:name="_Toc166223079"/>
      <w:bookmarkStart w:id="38" w:name="_Toc168488952"/>
      <w:bookmarkStart w:id="39" w:name="_Toc168488985"/>
      <w:bookmarkStart w:id="40" w:name="_Toc164170398"/>
      <w:bookmarkStart w:id="41" w:name="_Toc166835529"/>
      <w:r>
        <w:rPr>
          <w:rFonts w:hint="eastAsia"/>
          <w:spacing w:val="320"/>
        </w:rPr>
        <w:t>目</w:t>
      </w:r>
      <w:r>
        <w:rPr>
          <w:rFonts w:hint="eastAsia"/>
        </w:rPr>
        <w:t>次</w:t>
      </w:r>
    </w:p>
    <w:p w14:paraId="27C0A070">
      <w:pPr>
        <w:pStyle w:val="20"/>
        <w:tabs>
          <w:tab w:val="right" w:leader="dot" w:pos="9344"/>
        </w:tabs>
        <w:rPr>
          <w:rFonts w:asciiTheme="minorHAnsi" w:hAnsiTheme="minorHAnsi" w:eastAsiaTheme="minorEastAsia" w:cstheme="minorBidi"/>
          <w:szCs w:val="22"/>
        </w:rPr>
      </w:pPr>
      <w:r>
        <w:fldChar w:fldCharType="begin"/>
      </w:r>
      <w:r>
        <w:instrText xml:space="preserve"> TOC \o "1-1" \h </w:instrText>
      </w:r>
      <w:r>
        <w:fldChar w:fldCharType="separate"/>
      </w:r>
      <w:r>
        <w:fldChar w:fldCharType="begin"/>
      </w:r>
      <w:r>
        <w:instrText xml:space="preserve"> HYPERLINK \l "_Toc168581117" </w:instrText>
      </w:r>
      <w:r>
        <w:fldChar w:fldCharType="separate"/>
      </w:r>
      <w:r>
        <w:rPr>
          <w:rStyle w:val="34"/>
        </w:rPr>
        <w:t>前言</w:t>
      </w:r>
      <w:r>
        <w:tab/>
      </w:r>
      <w:r>
        <w:fldChar w:fldCharType="begin"/>
      </w:r>
      <w:r>
        <w:instrText xml:space="preserve"> PAGEREF _Toc168581117 \h </w:instrText>
      </w:r>
      <w:r>
        <w:fldChar w:fldCharType="separate"/>
      </w:r>
      <w:r>
        <w:t>II</w:t>
      </w:r>
      <w:r>
        <w:fldChar w:fldCharType="end"/>
      </w:r>
      <w:r>
        <w:fldChar w:fldCharType="end"/>
      </w:r>
    </w:p>
    <w:p w14:paraId="23D7A156">
      <w:pPr>
        <w:pStyle w:val="20"/>
        <w:tabs>
          <w:tab w:val="right" w:leader="dot" w:pos="9344"/>
        </w:tabs>
        <w:rPr>
          <w:rFonts w:asciiTheme="minorHAnsi" w:hAnsiTheme="minorHAnsi" w:eastAsiaTheme="minorEastAsia" w:cstheme="minorBidi"/>
          <w:szCs w:val="22"/>
        </w:rPr>
      </w:pPr>
      <w:r>
        <w:fldChar w:fldCharType="begin"/>
      </w:r>
      <w:r>
        <w:instrText xml:space="preserve"> HYPERLINK \l "_Toc168581118" </w:instrText>
      </w:r>
      <w:r>
        <w:fldChar w:fldCharType="separate"/>
      </w:r>
      <w:r>
        <w:rPr>
          <w:rStyle w:val="34"/>
          <w:rFonts w:ascii="Times New Roman"/>
        </w:rPr>
        <w:t>引言</w:t>
      </w:r>
      <w:r>
        <w:tab/>
      </w:r>
      <w:r>
        <w:fldChar w:fldCharType="begin"/>
      </w:r>
      <w:r>
        <w:instrText xml:space="preserve"> PAGEREF _Toc168581118 \h </w:instrText>
      </w:r>
      <w:r>
        <w:fldChar w:fldCharType="separate"/>
      </w:r>
      <w:r>
        <w:t>III</w:t>
      </w:r>
      <w:r>
        <w:fldChar w:fldCharType="end"/>
      </w:r>
      <w:r>
        <w:fldChar w:fldCharType="end"/>
      </w:r>
    </w:p>
    <w:p w14:paraId="22552002">
      <w:pPr>
        <w:pStyle w:val="20"/>
        <w:tabs>
          <w:tab w:val="right" w:leader="dot" w:pos="9344"/>
        </w:tabs>
        <w:rPr>
          <w:rFonts w:asciiTheme="minorHAnsi" w:hAnsiTheme="minorHAnsi" w:eastAsiaTheme="minorEastAsia" w:cstheme="minorBidi"/>
          <w:szCs w:val="22"/>
        </w:rPr>
      </w:pPr>
      <w:r>
        <w:fldChar w:fldCharType="begin"/>
      </w:r>
      <w:r>
        <w:instrText xml:space="preserve"> HYPERLINK \l "_Toc168581119" </w:instrText>
      </w:r>
      <w:r>
        <w:fldChar w:fldCharType="separate"/>
      </w:r>
      <w:r>
        <w:rPr>
          <w:rStyle w:val="34"/>
        </w:rPr>
        <w:t xml:space="preserve">1 </w:t>
      </w:r>
      <w:r>
        <w:rPr>
          <w:rStyle w:val="34"/>
          <w:rFonts w:ascii="Times New Roman"/>
        </w:rPr>
        <w:t xml:space="preserve"> 范围</w:t>
      </w:r>
      <w:r>
        <w:tab/>
      </w:r>
      <w:r>
        <w:fldChar w:fldCharType="begin"/>
      </w:r>
      <w:r>
        <w:instrText xml:space="preserve"> PAGEREF _Toc168581119 \h </w:instrText>
      </w:r>
      <w:r>
        <w:fldChar w:fldCharType="separate"/>
      </w:r>
      <w:r>
        <w:t>1</w:t>
      </w:r>
      <w:r>
        <w:fldChar w:fldCharType="end"/>
      </w:r>
      <w:r>
        <w:fldChar w:fldCharType="end"/>
      </w:r>
    </w:p>
    <w:p w14:paraId="36B9B64F">
      <w:pPr>
        <w:pStyle w:val="20"/>
        <w:tabs>
          <w:tab w:val="right" w:leader="dot" w:pos="9344"/>
        </w:tabs>
        <w:rPr>
          <w:rFonts w:asciiTheme="minorHAnsi" w:hAnsiTheme="minorHAnsi" w:eastAsiaTheme="minorEastAsia" w:cstheme="minorBidi"/>
          <w:szCs w:val="22"/>
        </w:rPr>
      </w:pPr>
      <w:r>
        <w:fldChar w:fldCharType="begin"/>
      </w:r>
      <w:r>
        <w:instrText xml:space="preserve"> HYPERLINK \l "_Toc168581120" </w:instrText>
      </w:r>
      <w:r>
        <w:fldChar w:fldCharType="separate"/>
      </w:r>
      <w:r>
        <w:rPr>
          <w:rStyle w:val="34"/>
        </w:rPr>
        <w:t xml:space="preserve">2 </w:t>
      </w:r>
      <w:r>
        <w:rPr>
          <w:rStyle w:val="34"/>
          <w:rFonts w:ascii="Times New Roman"/>
        </w:rPr>
        <w:t xml:space="preserve"> 规范性引用文件</w:t>
      </w:r>
      <w:r>
        <w:tab/>
      </w:r>
      <w:r>
        <w:fldChar w:fldCharType="begin"/>
      </w:r>
      <w:r>
        <w:instrText xml:space="preserve"> PAGEREF _Toc168581120 \h </w:instrText>
      </w:r>
      <w:r>
        <w:fldChar w:fldCharType="separate"/>
      </w:r>
      <w:r>
        <w:t>1</w:t>
      </w:r>
      <w:r>
        <w:fldChar w:fldCharType="end"/>
      </w:r>
      <w:r>
        <w:fldChar w:fldCharType="end"/>
      </w:r>
    </w:p>
    <w:p w14:paraId="0D93B66A">
      <w:pPr>
        <w:pStyle w:val="20"/>
        <w:tabs>
          <w:tab w:val="right" w:leader="dot" w:pos="9344"/>
        </w:tabs>
        <w:rPr>
          <w:rFonts w:asciiTheme="minorHAnsi" w:hAnsiTheme="minorHAnsi" w:eastAsiaTheme="minorEastAsia" w:cstheme="minorBidi"/>
          <w:szCs w:val="22"/>
        </w:rPr>
      </w:pPr>
      <w:r>
        <w:fldChar w:fldCharType="begin"/>
      </w:r>
      <w:r>
        <w:instrText xml:space="preserve"> HYPERLINK \l "_Toc168581121" </w:instrText>
      </w:r>
      <w:r>
        <w:fldChar w:fldCharType="separate"/>
      </w:r>
      <w:r>
        <w:rPr>
          <w:rStyle w:val="34"/>
        </w:rPr>
        <w:t xml:space="preserve">3 </w:t>
      </w:r>
      <w:r>
        <w:rPr>
          <w:rStyle w:val="34"/>
          <w:rFonts w:ascii="Times New Roman"/>
        </w:rPr>
        <w:t xml:space="preserve"> 术语和定义</w:t>
      </w:r>
      <w:r>
        <w:tab/>
      </w:r>
      <w:r>
        <w:fldChar w:fldCharType="begin"/>
      </w:r>
      <w:r>
        <w:instrText xml:space="preserve"> PAGEREF _Toc168581121 \h </w:instrText>
      </w:r>
      <w:r>
        <w:fldChar w:fldCharType="separate"/>
      </w:r>
      <w:r>
        <w:t>1</w:t>
      </w:r>
      <w:r>
        <w:fldChar w:fldCharType="end"/>
      </w:r>
      <w:r>
        <w:fldChar w:fldCharType="end"/>
      </w:r>
    </w:p>
    <w:p w14:paraId="76C9BF72">
      <w:pPr>
        <w:pStyle w:val="20"/>
        <w:tabs>
          <w:tab w:val="right" w:leader="dot" w:pos="9344"/>
        </w:tabs>
        <w:rPr>
          <w:rFonts w:asciiTheme="minorHAnsi" w:hAnsiTheme="minorHAnsi" w:eastAsiaTheme="minorEastAsia" w:cstheme="minorBidi"/>
          <w:szCs w:val="22"/>
        </w:rPr>
      </w:pPr>
      <w:r>
        <w:fldChar w:fldCharType="begin"/>
      </w:r>
      <w:r>
        <w:instrText xml:space="preserve"> HYPERLINK \l "_Toc168581122" </w:instrText>
      </w:r>
      <w:r>
        <w:fldChar w:fldCharType="separate"/>
      </w:r>
      <w:r>
        <w:rPr>
          <w:rStyle w:val="34"/>
        </w:rPr>
        <w:t xml:space="preserve">4 </w:t>
      </w:r>
      <w:r>
        <w:rPr>
          <w:rStyle w:val="34"/>
          <w:rFonts w:ascii="Times New Roman"/>
        </w:rPr>
        <w:t xml:space="preserve"> 儿童预防接种门诊</w:t>
      </w:r>
      <w:r>
        <w:tab/>
      </w:r>
      <w:r>
        <w:fldChar w:fldCharType="begin"/>
      </w:r>
      <w:r>
        <w:instrText xml:space="preserve"> PAGEREF _Toc168581122 \h </w:instrText>
      </w:r>
      <w:r>
        <w:fldChar w:fldCharType="separate"/>
      </w:r>
      <w:r>
        <w:t>2</w:t>
      </w:r>
      <w:r>
        <w:fldChar w:fldCharType="end"/>
      </w:r>
      <w:r>
        <w:fldChar w:fldCharType="end"/>
      </w:r>
    </w:p>
    <w:p w14:paraId="34C2686F">
      <w:pPr>
        <w:pStyle w:val="20"/>
        <w:tabs>
          <w:tab w:val="right" w:leader="dot" w:pos="9344"/>
        </w:tabs>
        <w:rPr>
          <w:rFonts w:asciiTheme="minorHAnsi" w:hAnsiTheme="minorHAnsi" w:eastAsiaTheme="minorEastAsia" w:cstheme="minorBidi"/>
          <w:szCs w:val="22"/>
        </w:rPr>
      </w:pPr>
      <w:r>
        <w:fldChar w:fldCharType="begin"/>
      </w:r>
      <w:r>
        <w:instrText xml:space="preserve"> HYPERLINK \l "_Toc168581123" </w:instrText>
      </w:r>
      <w:r>
        <w:fldChar w:fldCharType="separate"/>
      </w:r>
      <w:r>
        <w:rPr>
          <w:rStyle w:val="34"/>
        </w:rPr>
        <w:t xml:space="preserve">5 </w:t>
      </w:r>
      <w:r>
        <w:rPr>
          <w:rStyle w:val="34"/>
          <w:rFonts w:ascii="Times New Roman"/>
        </w:rPr>
        <w:t xml:space="preserve"> 成人预防接种门诊</w:t>
      </w:r>
      <w:r>
        <w:tab/>
      </w:r>
      <w:r>
        <w:fldChar w:fldCharType="begin"/>
      </w:r>
      <w:r>
        <w:instrText xml:space="preserve"> PAGEREF _Toc168581123 \h </w:instrText>
      </w:r>
      <w:r>
        <w:fldChar w:fldCharType="separate"/>
      </w:r>
      <w:r>
        <w:t>4</w:t>
      </w:r>
      <w:r>
        <w:fldChar w:fldCharType="end"/>
      </w:r>
      <w:r>
        <w:fldChar w:fldCharType="end"/>
      </w:r>
    </w:p>
    <w:p w14:paraId="212D3315">
      <w:pPr>
        <w:pStyle w:val="20"/>
        <w:tabs>
          <w:tab w:val="right" w:leader="dot" w:pos="9344"/>
        </w:tabs>
        <w:rPr>
          <w:rFonts w:asciiTheme="minorHAnsi" w:hAnsiTheme="minorHAnsi" w:eastAsiaTheme="minorEastAsia" w:cstheme="minorBidi"/>
          <w:szCs w:val="22"/>
        </w:rPr>
      </w:pPr>
      <w:r>
        <w:fldChar w:fldCharType="begin"/>
      </w:r>
      <w:r>
        <w:instrText xml:space="preserve"> HYPERLINK \l "_Toc168581124" </w:instrText>
      </w:r>
      <w:r>
        <w:fldChar w:fldCharType="separate"/>
      </w:r>
      <w:r>
        <w:rPr>
          <w:rStyle w:val="34"/>
        </w:rPr>
        <w:t xml:space="preserve">6 </w:t>
      </w:r>
      <w:r>
        <w:rPr>
          <w:rStyle w:val="34"/>
          <w:rFonts w:ascii="Times New Roman"/>
        </w:rPr>
        <w:t xml:space="preserve"> 产科预防接种室</w:t>
      </w:r>
      <w:r>
        <w:tab/>
      </w:r>
      <w:r>
        <w:fldChar w:fldCharType="begin"/>
      </w:r>
      <w:r>
        <w:instrText xml:space="preserve"> PAGEREF _Toc168581124 \h </w:instrText>
      </w:r>
      <w:r>
        <w:fldChar w:fldCharType="separate"/>
      </w:r>
      <w:r>
        <w:t>6</w:t>
      </w:r>
      <w:r>
        <w:fldChar w:fldCharType="end"/>
      </w:r>
      <w:r>
        <w:fldChar w:fldCharType="end"/>
      </w:r>
    </w:p>
    <w:p w14:paraId="5E0D6E6A">
      <w:pPr>
        <w:pStyle w:val="20"/>
        <w:tabs>
          <w:tab w:val="right" w:leader="dot" w:pos="9344"/>
        </w:tabs>
        <w:rPr>
          <w:rFonts w:asciiTheme="minorHAnsi" w:hAnsiTheme="minorHAnsi" w:eastAsiaTheme="minorEastAsia" w:cstheme="minorBidi"/>
          <w:szCs w:val="22"/>
        </w:rPr>
      </w:pPr>
      <w:r>
        <w:fldChar w:fldCharType="begin"/>
      </w:r>
      <w:r>
        <w:instrText xml:space="preserve"> HYPERLINK \l "_Toc168581125" </w:instrText>
      </w:r>
      <w:r>
        <w:fldChar w:fldCharType="separate"/>
      </w:r>
      <w:r>
        <w:rPr>
          <w:rStyle w:val="34"/>
        </w:rPr>
        <w:t xml:space="preserve">7 </w:t>
      </w:r>
      <w:r>
        <w:rPr>
          <w:rStyle w:val="34"/>
          <w:rFonts w:ascii="Times New Roman"/>
        </w:rPr>
        <w:t xml:space="preserve"> 狂犬病暴露预防处置门诊</w:t>
      </w:r>
      <w:r>
        <w:tab/>
      </w:r>
      <w:r>
        <w:fldChar w:fldCharType="begin"/>
      </w:r>
      <w:r>
        <w:instrText xml:space="preserve"> PAGEREF _Toc168581125 \h </w:instrText>
      </w:r>
      <w:r>
        <w:fldChar w:fldCharType="separate"/>
      </w:r>
      <w:r>
        <w:t>7</w:t>
      </w:r>
      <w:r>
        <w:fldChar w:fldCharType="end"/>
      </w:r>
      <w:r>
        <w:fldChar w:fldCharType="end"/>
      </w:r>
    </w:p>
    <w:p w14:paraId="4451C4C7">
      <w:pPr>
        <w:pStyle w:val="20"/>
        <w:tabs>
          <w:tab w:val="right" w:leader="dot" w:pos="9344"/>
        </w:tabs>
        <w:rPr>
          <w:rFonts w:asciiTheme="minorHAnsi" w:hAnsiTheme="minorHAnsi" w:eastAsiaTheme="minorEastAsia" w:cstheme="minorBidi"/>
          <w:szCs w:val="22"/>
        </w:rPr>
      </w:pPr>
      <w:r>
        <w:fldChar w:fldCharType="begin"/>
      </w:r>
      <w:r>
        <w:instrText xml:space="preserve"> HYPERLINK \l "_Toc168581126" </w:instrText>
      </w:r>
      <w:r>
        <w:fldChar w:fldCharType="separate"/>
      </w:r>
      <w:r>
        <w:rPr>
          <w:rStyle w:val="34"/>
        </w:rPr>
        <w:t>参考文献</w:t>
      </w:r>
      <w:r>
        <w:tab/>
      </w:r>
      <w:r>
        <w:fldChar w:fldCharType="begin"/>
      </w:r>
      <w:r>
        <w:instrText xml:space="preserve"> PAGEREF _Toc168581126 \h </w:instrText>
      </w:r>
      <w:r>
        <w:fldChar w:fldCharType="separate"/>
      </w:r>
      <w:r>
        <w:t>11</w:t>
      </w:r>
      <w:r>
        <w:fldChar w:fldCharType="end"/>
      </w:r>
      <w:r>
        <w:fldChar w:fldCharType="end"/>
      </w:r>
    </w:p>
    <w:p w14:paraId="136AA0FF">
      <w:pPr>
        <w:pStyle w:val="93"/>
        <w:spacing w:after="468"/>
        <w:sectPr>
          <w:headerReference r:id="rId9" w:type="default"/>
          <w:footerReference r:id="rId11" w:type="default"/>
          <w:headerReference r:id="rId10" w:type="even"/>
          <w:pgSz w:w="11906" w:h="16838"/>
          <w:pgMar w:top="2410" w:right="1134" w:bottom="1134" w:left="1134" w:header="1418" w:footer="1134" w:gutter="284"/>
          <w:pgNumType w:fmt="upperRoman" w:start="1"/>
          <w:cols w:space="425" w:num="1"/>
          <w:formProt w:val="0"/>
          <w:docGrid w:type="lines" w:linePitch="312" w:charSpace="0"/>
        </w:sectPr>
      </w:pPr>
      <w:r>
        <w:fldChar w:fldCharType="end"/>
      </w:r>
    </w:p>
    <w:bookmarkEnd w:id="20"/>
    <w:p w14:paraId="0FB60ADC">
      <w:pPr>
        <w:pStyle w:val="91"/>
        <w:spacing w:after="468"/>
      </w:pPr>
      <w:bookmarkStart w:id="42" w:name="_Toc168581117"/>
      <w:bookmarkStart w:id="43" w:name="BookMark2"/>
      <w:r>
        <w:rPr>
          <w:spacing w:val="320"/>
        </w:rPr>
        <w:t>前</w:t>
      </w:r>
      <w:r>
        <w:t>言</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55CB5138">
      <w:pPr>
        <w:pStyle w:val="58"/>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本文件按照GB/T 1.1—2020《标准化工作导则  第1部分：标准化文件的结构和起草规则》的规定起草。</w:t>
      </w:r>
    </w:p>
    <w:p w14:paraId="73F7AD21">
      <w:pPr>
        <w:pStyle w:val="58"/>
        <w:ind w:firstLine="420"/>
        <w:rPr>
          <w:rFonts w:ascii="Times New Roman"/>
        </w:rPr>
      </w:pPr>
      <w:r>
        <w:rPr>
          <w:rFonts w:ascii="Times New Roman"/>
        </w:rPr>
        <w:t>本文件分为以下部分：</w:t>
      </w:r>
    </w:p>
    <w:p w14:paraId="7FB9B861">
      <w:pPr>
        <w:pStyle w:val="58"/>
        <w:ind w:firstLine="420"/>
        <w:rPr>
          <w:rFonts w:ascii="Times New Roman"/>
        </w:rPr>
      </w:pPr>
      <w:r>
        <w:rPr>
          <w:rFonts w:ascii="Times New Roman"/>
        </w:rPr>
        <w:t>——第1部分：预防接种门诊建设；</w:t>
      </w:r>
    </w:p>
    <w:p w14:paraId="12E368F0">
      <w:pPr>
        <w:pStyle w:val="58"/>
        <w:ind w:firstLine="420"/>
        <w:rPr>
          <w:rFonts w:ascii="Times New Roman"/>
        </w:rPr>
      </w:pPr>
      <w:r>
        <w:rPr>
          <w:rFonts w:ascii="Times New Roman"/>
        </w:rPr>
        <w:t>——第2部分：疫苗接种方法。</w:t>
      </w:r>
    </w:p>
    <w:p w14:paraId="393D70DE">
      <w:pPr>
        <w:pStyle w:val="58"/>
        <w:ind w:firstLine="420"/>
        <w:rPr>
          <w:rFonts w:ascii="Times New Roman"/>
        </w:rPr>
      </w:pPr>
      <w:r>
        <w:rPr>
          <w:rFonts w:ascii="Times New Roman"/>
        </w:rPr>
        <w:t>本部分为第1部分</w:t>
      </w:r>
      <w:r>
        <w:rPr>
          <w:rFonts w:hint="eastAsia" w:ascii="Times New Roman"/>
        </w:rPr>
        <w:t>。</w:t>
      </w:r>
    </w:p>
    <w:p w14:paraId="051FB88A">
      <w:pPr>
        <w:pStyle w:val="58"/>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请注意本文件的某些内容可能涉及专利。本文件的发布机构不承担识别专利的责任。</w:t>
      </w:r>
    </w:p>
    <w:p w14:paraId="20EBC40E">
      <w:pPr>
        <w:pStyle w:val="58"/>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本文件由江苏省卫生健康标准化技术委员会</w:t>
      </w:r>
      <w:r>
        <w:rPr>
          <w:rFonts w:hint="eastAsia"/>
          <w:color w:val="000000" w:themeColor="text1"/>
          <w:lang w:val="en-US" w:eastAsia="zh-CN"/>
          <w14:textFill>
            <w14:solidFill>
              <w14:schemeClr w14:val="tx1"/>
            </w14:solidFill>
          </w14:textFill>
        </w:rPr>
        <w:t>提出并</w:t>
      </w:r>
      <w:bookmarkStart w:id="1656" w:name="_GoBack"/>
      <w:bookmarkEnd w:id="1656"/>
      <w:r>
        <w:rPr>
          <w:rFonts w:hint="eastAsia"/>
          <w:color w:val="000000" w:themeColor="text1"/>
          <w14:textFill>
            <w14:solidFill>
              <w14:schemeClr w14:val="tx1"/>
            </w14:solidFill>
          </w14:textFill>
        </w:rPr>
        <w:t xml:space="preserve">归口。 </w:t>
      </w:r>
    </w:p>
    <w:p w14:paraId="0FCD20A2">
      <w:pPr>
        <w:pStyle w:val="58"/>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本文件起草单位：江苏省疾病预防控制中心、苏州市疾病预防控制中心、南通市疾病预防控制中心、连云港市疾病预防控制中心、南京市江北新区疾病预防控制中心、南京市鼓楼区小市社区卫生服务中心。</w:t>
      </w:r>
    </w:p>
    <w:p w14:paraId="4B69AEA2">
      <w:pPr>
        <w:pStyle w:val="58"/>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本文件主要起草人：康国栋、汪志国、汤奋扬、于静、胡冉、徐佳南、陈强、刘丽、栾琳、陈杰、潘佑记、朱保强、屠晓艳、高君、李珣、张磊。 </w:t>
      </w:r>
    </w:p>
    <w:p w14:paraId="305D5724">
      <w:pPr>
        <w:pStyle w:val="58"/>
        <w:ind w:firstLine="420"/>
        <w:rPr>
          <w:color w:val="000000" w:themeColor="text1"/>
          <w14:textFill>
            <w14:solidFill>
              <w14:schemeClr w14:val="tx1"/>
            </w14:solidFill>
          </w14:textFill>
        </w:rPr>
      </w:pPr>
    </w:p>
    <w:p w14:paraId="07E4D533">
      <w:pPr>
        <w:pStyle w:val="58"/>
        <w:ind w:firstLine="420"/>
        <w:rPr>
          <w:color w:val="000000" w:themeColor="text1"/>
          <w14:textFill>
            <w14:solidFill>
              <w14:schemeClr w14:val="tx1"/>
            </w14:solidFill>
          </w14:textFill>
        </w:rPr>
      </w:pPr>
    </w:p>
    <w:p w14:paraId="70D3C630">
      <w:pPr>
        <w:widowControl/>
        <w:adjustRightInd/>
        <w:spacing w:line="240" w:lineRule="auto"/>
        <w:jc w:val="left"/>
        <w:rPr>
          <w:rFonts w:ascii="宋体" w:hAnsi="Times New Roman"/>
          <w:color w:val="000000" w:themeColor="text1"/>
          <w:kern w:val="0"/>
          <w:szCs w:val="20"/>
          <w14:textFill>
            <w14:solidFill>
              <w14:schemeClr w14:val="tx1"/>
            </w14:solidFill>
          </w14:textFill>
        </w:rPr>
      </w:pPr>
      <w:r>
        <w:rPr>
          <w:color w:val="000000" w:themeColor="text1"/>
          <w14:textFill>
            <w14:solidFill>
              <w14:schemeClr w14:val="tx1"/>
            </w14:solidFill>
          </w14:textFill>
        </w:rPr>
        <w:br w:type="page"/>
      </w:r>
    </w:p>
    <w:bookmarkEnd w:id="43"/>
    <w:p w14:paraId="07671647">
      <w:pPr>
        <w:pStyle w:val="91"/>
        <w:spacing w:after="468"/>
        <w:rPr>
          <w:rFonts w:ascii="Times New Roman"/>
          <w:color w:val="000000" w:themeColor="text1"/>
          <w14:textFill>
            <w14:solidFill>
              <w14:schemeClr w14:val="tx1"/>
            </w14:solidFill>
          </w14:textFill>
        </w:rPr>
      </w:pPr>
      <w:bookmarkStart w:id="44" w:name="_Toc164150063"/>
      <w:bookmarkStart w:id="45" w:name="_Toc164089819"/>
      <w:bookmarkStart w:id="46" w:name="_Toc168488986"/>
      <w:bookmarkStart w:id="47" w:name="_Toc166837360"/>
      <w:bookmarkStart w:id="48" w:name="_Toc163811050"/>
      <w:bookmarkStart w:id="49" w:name="_Toc164089673"/>
      <w:bookmarkStart w:id="50" w:name="_Toc164090107"/>
      <w:bookmarkStart w:id="51" w:name="_Toc164154399"/>
      <w:bookmarkStart w:id="52" w:name="_Toc166835530"/>
      <w:bookmarkStart w:id="53" w:name="_Toc164170399"/>
      <w:bookmarkStart w:id="54" w:name="_Toc164089087"/>
      <w:bookmarkStart w:id="55" w:name="_Toc166223080"/>
      <w:bookmarkStart w:id="56" w:name="_Toc168581118"/>
      <w:bookmarkStart w:id="57" w:name="_Toc164083613"/>
      <w:bookmarkStart w:id="58" w:name="_Toc164178110"/>
      <w:bookmarkStart w:id="59" w:name="_Toc168488953"/>
      <w:bookmarkStart w:id="60" w:name="_Toc164083547"/>
      <w:bookmarkStart w:id="61" w:name="_Toc164084612"/>
      <w:bookmarkStart w:id="62" w:name="_Toc166253757"/>
      <w:bookmarkStart w:id="63" w:name="_Toc164090217"/>
      <w:bookmarkStart w:id="64" w:name="BookMark3"/>
      <w:r>
        <w:rPr>
          <w:rFonts w:ascii="Times New Roman"/>
          <w:color w:val="000000" w:themeColor="text1"/>
          <w:spacing w:val="320"/>
          <w14:textFill>
            <w14:solidFill>
              <w14:schemeClr w14:val="tx1"/>
            </w14:solidFill>
          </w14:textFill>
        </w:rPr>
        <w:t>引</w:t>
      </w:r>
      <w:r>
        <w:rPr>
          <w:rFonts w:ascii="Times New Roman"/>
          <w:color w:val="000000" w:themeColor="text1"/>
          <w14:textFill>
            <w14:solidFill>
              <w14:schemeClr w14:val="tx1"/>
            </w14:solidFill>
          </w14:textFill>
        </w:rPr>
        <w:t>言</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18CE5891">
      <w:pPr>
        <w:pStyle w:val="58"/>
        <w:ind w:firstLine="42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预防接种是预防、控制传染病的重要手段。本文件</w:t>
      </w:r>
      <w:r>
        <w:rPr>
          <w:rFonts w:hint="eastAsia" w:ascii="Times New Roman"/>
          <w:color w:val="000000" w:themeColor="text1"/>
          <w14:textFill>
            <w14:solidFill>
              <w14:schemeClr w14:val="tx1"/>
            </w14:solidFill>
          </w14:textFill>
        </w:rPr>
        <w:t>根据</w:t>
      </w:r>
      <w:r>
        <w:rPr>
          <w:rFonts w:ascii="Times New Roman"/>
          <w:color w:val="000000" w:themeColor="text1"/>
          <w14:textFill>
            <w14:solidFill>
              <w14:schemeClr w14:val="tx1"/>
            </w14:solidFill>
          </w14:textFill>
        </w:rPr>
        <w:t>江苏省预防接种工作实际</w:t>
      </w:r>
      <w:r>
        <w:rPr>
          <w:rFonts w:hint="eastAsia" w:ascii="Times New Roman"/>
          <w:color w:val="000000" w:themeColor="text1"/>
          <w14:textFill>
            <w14:solidFill>
              <w14:schemeClr w14:val="tx1"/>
            </w14:solidFill>
          </w14:textFill>
        </w:rPr>
        <w:t>出发</w:t>
      </w:r>
      <w:r>
        <w:rPr>
          <w:rFonts w:ascii="Times New Roman"/>
          <w:color w:val="000000" w:themeColor="text1"/>
          <w14:textFill>
            <w14:solidFill>
              <w14:schemeClr w14:val="tx1"/>
            </w14:solidFill>
          </w14:textFill>
        </w:rPr>
        <w:t>，</w:t>
      </w:r>
      <w:r>
        <w:rPr>
          <w:rFonts w:hint="eastAsia" w:ascii="Times New Roman"/>
          <w:color w:val="000000" w:themeColor="text1"/>
          <w14:textFill>
            <w14:solidFill>
              <w14:schemeClr w14:val="tx1"/>
            </w14:solidFill>
          </w14:textFill>
        </w:rPr>
        <w:t>制定了各类</w:t>
      </w:r>
      <w:r>
        <w:rPr>
          <w:rFonts w:ascii="Times New Roman"/>
          <w:color w:val="000000" w:themeColor="text1"/>
          <w14:textFill>
            <w14:solidFill>
              <w14:schemeClr w14:val="tx1"/>
            </w14:solidFill>
          </w14:textFill>
        </w:rPr>
        <w:t>预防</w:t>
      </w:r>
      <w:r>
        <w:rPr>
          <w:rFonts w:hint="eastAsia" w:ascii="Times New Roman"/>
          <w:color w:val="000000" w:themeColor="text1"/>
          <w14:textFill>
            <w14:solidFill>
              <w14:schemeClr w14:val="tx1"/>
            </w14:solidFill>
          </w14:textFill>
        </w:rPr>
        <w:t>接种</w:t>
      </w:r>
      <w:r>
        <w:rPr>
          <w:rFonts w:ascii="Times New Roman"/>
          <w:color w:val="000000" w:themeColor="text1"/>
          <w14:textFill>
            <w14:solidFill>
              <w14:schemeClr w14:val="tx1"/>
            </w14:solidFill>
          </w14:textFill>
        </w:rPr>
        <w:t>门诊</w:t>
      </w:r>
      <w:r>
        <w:rPr>
          <w:rFonts w:hint="eastAsia" w:ascii="Times New Roman"/>
          <w:color w:val="000000" w:themeColor="text1"/>
          <w14:textFill>
            <w14:solidFill>
              <w14:schemeClr w14:val="tx1"/>
            </w14:solidFill>
          </w14:textFill>
        </w:rPr>
        <w:t>建设标准</w:t>
      </w:r>
      <w:r>
        <w:rPr>
          <w:rFonts w:ascii="Times New Roman"/>
          <w:color w:val="000000" w:themeColor="text1"/>
          <w14:textFill>
            <w14:solidFill>
              <w14:schemeClr w14:val="tx1"/>
            </w14:solidFill>
          </w14:textFill>
        </w:rPr>
        <w:t>和</w:t>
      </w:r>
      <w:r>
        <w:rPr>
          <w:rFonts w:hint="eastAsia" w:ascii="Times New Roman"/>
          <w:color w:val="000000" w:themeColor="text1"/>
          <w14:textFill>
            <w14:solidFill>
              <w14:schemeClr w14:val="tx1"/>
            </w14:solidFill>
          </w14:textFill>
        </w:rPr>
        <w:t>要求，以</w:t>
      </w:r>
      <w:r>
        <w:rPr>
          <w:rFonts w:ascii="Times New Roman"/>
          <w:color w:val="000000" w:themeColor="text1"/>
          <w14:textFill>
            <w14:solidFill>
              <w14:schemeClr w14:val="tx1"/>
            </w14:solidFill>
          </w14:textFill>
        </w:rPr>
        <w:t>推动各类预防接种门诊相关工作有章可循，有据可依，确保</w:t>
      </w:r>
      <w:r>
        <w:rPr>
          <w:rFonts w:hint="eastAsia" w:ascii="Times New Roman"/>
          <w:color w:val="000000" w:themeColor="text1"/>
          <w14:textFill>
            <w14:solidFill>
              <w14:schemeClr w14:val="tx1"/>
            </w14:solidFill>
          </w14:textFill>
        </w:rPr>
        <w:t>预防接种</w:t>
      </w:r>
      <w:r>
        <w:rPr>
          <w:rFonts w:ascii="Times New Roman"/>
          <w:color w:val="000000" w:themeColor="text1"/>
          <w14:textFill>
            <w14:solidFill>
              <w14:schemeClr w14:val="tx1"/>
            </w14:solidFill>
          </w14:textFill>
        </w:rPr>
        <w:t>服务标准化、技术规范化及管理科学化。</w:t>
      </w:r>
    </w:p>
    <w:p w14:paraId="3F28840C">
      <w:pPr>
        <w:pStyle w:val="58"/>
        <w:ind w:firstLine="420"/>
        <w:rPr>
          <w:rFonts w:ascii="Times New Roman"/>
          <w:color w:val="000000" w:themeColor="text1"/>
          <w14:textFill>
            <w14:solidFill>
              <w14:schemeClr w14:val="tx1"/>
            </w14:solidFill>
          </w14:textFill>
        </w:rPr>
      </w:pPr>
      <w:r>
        <w:rPr>
          <w:rFonts w:hint="eastAsia" w:ascii="Times New Roman"/>
        </w:rPr>
        <w:t>为使管理规范更具层次性和操作性，</w:t>
      </w:r>
      <w:r>
        <w:rPr>
          <w:rFonts w:ascii="Times New Roman"/>
          <w:color w:val="000000" w:themeColor="text1"/>
          <w14:textFill>
            <w14:solidFill>
              <w14:schemeClr w14:val="tx1"/>
            </w14:solidFill>
          </w14:textFill>
        </w:rPr>
        <w:t>本文件分为以下部分：</w:t>
      </w:r>
    </w:p>
    <w:p w14:paraId="105EA43E">
      <w:pPr>
        <w:pStyle w:val="58"/>
        <w:ind w:firstLine="42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——第1部分：预防接种门诊建设；</w:t>
      </w:r>
    </w:p>
    <w:p w14:paraId="19CF96DF">
      <w:pPr>
        <w:pStyle w:val="58"/>
        <w:ind w:firstLine="42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——第2部分：疫苗接种方法。</w:t>
      </w:r>
    </w:p>
    <w:p w14:paraId="4BDBB344">
      <w:pPr>
        <w:pStyle w:val="58"/>
        <w:ind w:firstLine="42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本文件将对实现疾控机构和预防接种</w:t>
      </w:r>
      <w:r>
        <w:rPr>
          <w:rFonts w:hAnsi="宋体"/>
          <w:color w:val="000000" w:themeColor="text1"/>
          <w14:textFill>
            <w14:solidFill>
              <w14:schemeClr w14:val="tx1"/>
            </w14:solidFill>
          </w14:textFill>
        </w:rPr>
        <w:t>门诊“</w:t>
      </w:r>
      <w:r>
        <w:rPr>
          <w:rFonts w:hint="eastAsia" w:hAnsi="宋体"/>
          <w:color w:val="000000" w:themeColor="text1"/>
          <w14:textFill>
            <w14:solidFill>
              <w14:schemeClr w14:val="tx1"/>
            </w14:solidFill>
          </w14:textFill>
        </w:rPr>
        <w:t>服务+技术+管理</w:t>
      </w:r>
      <w:r>
        <w:rPr>
          <w:rFonts w:hAnsi="宋体"/>
          <w:color w:val="000000" w:themeColor="text1"/>
          <w14:textFill>
            <w14:solidFill>
              <w14:schemeClr w14:val="tx1"/>
            </w14:solidFill>
          </w14:textFill>
        </w:rPr>
        <w:t>”的</w:t>
      </w:r>
      <w:r>
        <w:rPr>
          <w:rFonts w:ascii="Times New Roman"/>
          <w:color w:val="000000" w:themeColor="text1"/>
          <w14:textFill>
            <w14:solidFill>
              <w14:schemeClr w14:val="tx1"/>
            </w14:solidFill>
          </w14:textFill>
        </w:rPr>
        <w:t>高质量发展目标、</w:t>
      </w:r>
      <w:r>
        <w:rPr>
          <w:rFonts w:hint="eastAsia" w:ascii="Times New Roman"/>
          <w:color w:val="000000" w:themeColor="text1"/>
          <w14:textFill>
            <w14:solidFill>
              <w14:schemeClr w14:val="tx1"/>
            </w14:solidFill>
          </w14:textFill>
        </w:rPr>
        <w:t>促进</w:t>
      </w:r>
      <w:r>
        <w:rPr>
          <w:rFonts w:ascii="Times New Roman"/>
          <w:color w:val="000000" w:themeColor="text1"/>
          <w14:textFill>
            <w14:solidFill>
              <w14:schemeClr w14:val="tx1"/>
            </w14:solidFill>
          </w14:textFill>
        </w:rPr>
        <w:t>预防接种工作进一步规范化、标准化具有重要意义。</w:t>
      </w:r>
    </w:p>
    <w:p w14:paraId="467911C4">
      <w:pPr>
        <w:pStyle w:val="58"/>
        <w:ind w:firstLine="420"/>
        <w:rPr>
          <w:rFonts w:ascii="Times New Roman"/>
          <w:color w:val="000000" w:themeColor="text1"/>
          <w14:textFill>
            <w14:solidFill>
              <w14:schemeClr w14:val="tx1"/>
            </w14:solidFill>
          </w14:textFill>
        </w:rPr>
      </w:pPr>
    </w:p>
    <w:p w14:paraId="39782751">
      <w:pPr>
        <w:pStyle w:val="58"/>
        <w:ind w:firstLine="420"/>
        <w:rPr>
          <w:rFonts w:ascii="Times New Roman"/>
          <w:color w:val="000000" w:themeColor="text1"/>
          <w14:textFill>
            <w14:solidFill>
              <w14:schemeClr w14:val="tx1"/>
            </w14:solidFill>
          </w14:textFill>
        </w:rPr>
        <w:sectPr>
          <w:pgSz w:w="11906" w:h="16838"/>
          <w:pgMar w:top="2410" w:right="1134" w:bottom="1134" w:left="1134" w:header="1418" w:footer="1134" w:gutter="284"/>
          <w:pgNumType w:fmt="upperRoman"/>
          <w:cols w:space="425" w:num="1"/>
          <w:formProt w:val="0"/>
          <w:docGrid w:type="lines" w:linePitch="312" w:charSpace="0"/>
        </w:sectPr>
      </w:pPr>
    </w:p>
    <w:bookmarkEnd w:id="64"/>
    <w:p w14:paraId="255F2FAF">
      <w:pPr>
        <w:spacing w:line="20" w:lineRule="exact"/>
        <w:jc w:val="center"/>
        <w:rPr>
          <w:rFonts w:ascii="Times New Roman" w:hAnsi="Times New Roman" w:eastAsia="黑体"/>
          <w:color w:val="000000" w:themeColor="text1"/>
          <w:sz w:val="32"/>
          <w:szCs w:val="32"/>
          <w14:textFill>
            <w14:solidFill>
              <w14:schemeClr w14:val="tx1"/>
            </w14:solidFill>
          </w14:textFill>
        </w:rPr>
      </w:pPr>
      <w:bookmarkStart w:id="65" w:name="BookMark4"/>
    </w:p>
    <w:p w14:paraId="4FB51BEC">
      <w:pPr>
        <w:spacing w:line="20" w:lineRule="exact"/>
        <w:jc w:val="center"/>
        <w:rPr>
          <w:rFonts w:ascii="Times New Roman" w:hAnsi="Times New Roman" w:eastAsia="黑体"/>
          <w:color w:val="000000" w:themeColor="text1"/>
          <w:sz w:val="32"/>
          <w:szCs w:val="32"/>
          <w14:textFill>
            <w14:solidFill>
              <w14:schemeClr w14:val="tx1"/>
            </w14:solidFill>
          </w14:textFill>
        </w:rPr>
      </w:pPr>
    </w:p>
    <w:sdt>
      <w:sdtPr>
        <w:tag w:val="NEW_STAND_NAME"/>
        <w:id w:val="595910757"/>
        <w:lock w:val="sdtLocked"/>
        <w:placeholder>
          <w:docPart w:val="D7A7D5AFA53F48A6BD6C4D3CF8CA738D"/>
        </w:placeholder>
      </w:sdtPr>
      <w:sdtContent>
        <w:p w14:paraId="1795F146">
          <w:pPr>
            <w:pStyle w:val="179"/>
            <w:spacing w:before="312" w:beforeLines="100" w:after="3" w:afterLines="1"/>
          </w:pPr>
          <w:bookmarkStart w:id="66" w:name="NEW_STAND_NAME"/>
          <w:r>
            <w:rPr>
              <w:rFonts w:hint="eastAsia"/>
            </w:rPr>
            <w:t>预防接种技术管理规范</w:t>
          </w:r>
        </w:p>
        <w:p w14:paraId="15000F69">
          <w:pPr>
            <w:pStyle w:val="179"/>
            <w:spacing w:before="3" w:beforeLines="1" w:after="680"/>
          </w:pPr>
          <w:r>
            <w:rPr>
              <w:rFonts w:hint="eastAsia"/>
            </w:rPr>
            <w:t>第</w:t>
          </w:r>
          <w:r>
            <w:t>1部分：预防接种门诊建设</w:t>
          </w:r>
        </w:p>
      </w:sdtContent>
    </w:sdt>
    <w:bookmarkEnd w:id="66"/>
    <w:p w14:paraId="3E5BEF5C">
      <w:pPr>
        <w:pStyle w:val="106"/>
        <w:spacing w:before="312" w:after="312"/>
        <w:rPr>
          <w:rFonts w:ascii="Times New Roman"/>
          <w:color w:val="000000" w:themeColor="text1"/>
          <w14:textFill>
            <w14:solidFill>
              <w14:schemeClr w14:val="tx1"/>
            </w14:solidFill>
          </w14:textFill>
        </w:rPr>
      </w:pPr>
      <w:bookmarkStart w:id="67" w:name="_Toc164089820"/>
      <w:bookmarkStart w:id="68" w:name="_Toc164084613"/>
      <w:bookmarkStart w:id="69" w:name="_Toc164170400"/>
      <w:bookmarkStart w:id="70" w:name="_Toc17233325"/>
      <w:bookmarkStart w:id="71" w:name="_Toc164178111"/>
      <w:bookmarkStart w:id="72" w:name="_Toc26986530"/>
      <w:bookmarkStart w:id="73" w:name="_Toc17233333"/>
      <w:bookmarkStart w:id="74" w:name="_Toc166253758"/>
      <w:bookmarkStart w:id="75" w:name="_Toc166223081"/>
      <w:bookmarkStart w:id="76" w:name="_Toc166835531"/>
      <w:bookmarkStart w:id="77" w:name="_Toc26986771"/>
      <w:bookmarkStart w:id="78" w:name="_Toc164083614"/>
      <w:bookmarkStart w:id="79" w:name="_Toc164089088"/>
      <w:bookmarkStart w:id="80" w:name="_Toc164090108"/>
      <w:bookmarkStart w:id="81" w:name="_Toc24884211"/>
      <w:bookmarkStart w:id="82" w:name="_Toc26718930"/>
      <w:bookmarkStart w:id="83" w:name="_Toc164083548"/>
      <w:bookmarkStart w:id="84" w:name="_Toc164090218"/>
      <w:bookmarkStart w:id="85" w:name="_Toc164154400"/>
      <w:bookmarkStart w:id="86" w:name="_Toc127349410"/>
      <w:bookmarkStart w:id="87" w:name="_Toc26648465"/>
      <w:bookmarkStart w:id="88" w:name="_Toc24884218"/>
      <w:bookmarkStart w:id="89" w:name="_Toc127349383"/>
      <w:bookmarkStart w:id="90" w:name="_Toc163811051"/>
      <w:bookmarkStart w:id="91" w:name="_Toc164089674"/>
      <w:bookmarkStart w:id="92" w:name="_Toc164150064"/>
      <w:bookmarkStart w:id="93" w:name="_Toc168488987"/>
      <w:bookmarkStart w:id="94" w:name="_Toc168488954"/>
      <w:bookmarkStart w:id="95" w:name="_Toc168581119"/>
      <w:bookmarkStart w:id="96" w:name="_Toc166837361"/>
      <w:r>
        <w:rPr>
          <w:rFonts w:ascii="Times New Roman"/>
          <w:color w:val="000000" w:themeColor="text1"/>
          <w14:textFill>
            <w14:solidFill>
              <w14:schemeClr w14:val="tx1"/>
            </w14:solidFill>
          </w14:textFill>
        </w:rPr>
        <w:t>范围</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67FA6972">
      <w:pPr>
        <w:pStyle w:val="58"/>
        <w:ind w:firstLine="420"/>
        <w:rPr>
          <w:rFonts w:ascii="Times New Roman"/>
          <w:color w:val="000000" w:themeColor="text1"/>
          <w14:textFill>
            <w14:solidFill>
              <w14:schemeClr w14:val="tx1"/>
            </w14:solidFill>
          </w14:textFill>
        </w:rPr>
      </w:pPr>
      <w:bookmarkStart w:id="97" w:name="_Toc26648466"/>
      <w:bookmarkStart w:id="98" w:name="_Toc17233326"/>
      <w:bookmarkStart w:id="99" w:name="_Toc24884219"/>
      <w:bookmarkStart w:id="100" w:name="_Toc24884212"/>
      <w:bookmarkStart w:id="101" w:name="_Toc17233334"/>
      <w:r>
        <w:rPr>
          <w:rFonts w:ascii="Times New Roman"/>
          <w:color w:val="000000" w:themeColor="text1"/>
          <w14:textFill>
            <w14:solidFill>
              <w14:schemeClr w14:val="tx1"/>
            </w14:solidFill>
          </w14:textFill>
        </w:rPr>
        <w:t>本文件规定了各类预防接种门诊的基础配置、设施和设备、人员要求、信息系统管理要求和信息公示等。</w:t>
      </w:r>
    </w:p>
    <w:p w14:paraId="0CAC3021">
      <w:pPr>
        <w:pStyle w:val="58"/>
        <w:ind w:firstLine="42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本文件适用于江苏省各级医疗卫生机构设立的各类预防接种门诊。</w:t>
      </w:r>
    </w:p>
    <w:p w14:paraId="44BF232D">
      <w:pPr>
        <w:pStyle w:val="106"/>
        <w:spacing w:before="312" w:after="312"/>
        <w:rPr>
          <w:rFonts w:ascii="Times New Roman"/>
          <w:color w:val="000000" w:themeColor="text1"/>
          <w14:textFill>
            <w14:solidFill>
              <w14:schemeClr w14:val="tx1"/>
            </w14:solidFill>
          </w14:textFill>
        </w:rPr>
      </w:pPr>
      <w:bookmarkStart w:id="102" w:name="_Toc168488955"/>
      <w:bookmarkStart w:id="103" w:name="_Toc168488988"/>
      <w:bookmarkStart w:id="104" w:name="_Toc164170401"/>
      <w:bookmarkStart w:id="105" w:name="_Toc164089089"/>
      <w:bookmarkStart w:id="106" w:name="_Toc164089675"/>
      <w:bookmarkStart w:id="107" w:name="_Toc164178112"/>
      <w:bookmarkStart w:id="108" w:name="_Toc164084614"/>
      <w:bookmarkStart w:id="109" w:name="_Toc164090219"/>
      <w:bookmarkStart w:id="110" w:name="_Toc166223082"/>
      <w:bookmarkStart w:id="111" w:name="_Toc164090109"/>
      <w:bookmarkStart w:id="112" w:name="_Toc164089821"/>
      <w:bookmarkStart w:id="113" w:name="_Toc166253759"/>
      <w:bookmarkStart w:id="114" w:name="_Toc166835532"/>
      <w:bookmarkStart w:id="115" w:name="_Toc166837362"/>
      <w:bookmarkStart w:id="116" w:name="_Toc164083615"/>
      <w:bookmarkStart w:id="117" w:name="_Toc164154401"/>
      <w:bookmarkStart w:id="118" w:name="_Toc163811052"/>
      <w:bookmarkStart w:id="119" w:name="_Toc164083549"/>
      <w:bookmarkStart w:id="120" w:name="_Toc164150065"/>
      <w:bookmarkStart w:id="121" w:name="_Toc168581120"/>
      <w:r>
        <w:rPr>
          <w:rFonts w:ascii="Times New Roman"/>
          <w:color w:val="000000" w:themeColor="text1"/>
          <w14:textFill>
            <w14:solidFill>
              <w14:schemeClr w14:val="tx1"/>
            </w14:solidFill>
          </w14:textFill>
        </w:rPr>
        <w:t>规范性引用文件</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73B5503C">
      <w:pPr>
        <w:pStyle w:val="58"/>
        <w:ind w:firstLine="42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本文件没有规范性引用文件。</w:t>
      </w:r>
    </w:p>
    <w:bookmarkEnd w:id="97"/>
    <w:bookmarkEnd w:id="98"/>
    <w:bookmarkEnd w:id="99"/>
    <w:bookmarkEnd w:id="100"/>
    <w:bookmarkEnd w:id="101"/>
    <w:p w14:paraId="0DD3F44D">
      <w:pPr>
        <w:pStyle w:val="106"/>
        <w:spacing w:before="312" w:after="312"/>
        <w:rPr>
          <w:rFonts w:ascii="Times New Roman"/>
          <w:color w:val="000000" w:themeColor="text1"/>
          <w14:textFill>
            <w14:solidFill>
              <w14:schemeClr w14:val="tx1"/>
            </w14:solidFill>
          </w14:textFill>
        </w:rPr>
      </w:pPr>
      <w:bookmarkStart w:id="122" w:name="_Toc164089822"/>
      <w:bookmarkStart w:id="123" w:name="_Toc164150066"/>
      <w:bookmarkStart w:id="124" w:name="_Toc166223083"/>
      <w:bookmarkStart w:id="125" w:name="_Toc166253760"/>
      <w:bookmarkStart w:id="126" w:name="_Toc166835533"/>
      <w:bookmarkStart w:id="127" w:name="_Toc127349384"/>
      <w:bookmarkStart w:id="128" w:name="_Toc163811053"/>
      <w:bookmarkStart w:id="129" w:name="_Toc164089676"/>
      <w:bookmarkStart w:id="130" w:name="_Toc164090110"/>
      <w:bookmarkStart w:id="131" w:name="_Toc164089090"/>
      <w:bookmarkStart w:id="132" w:name="_Toc164154402"/>
      <w:bookmarkStart w:id="133" w:name="_Toc164170402"/>
      <w:bookmarkStart w:id="134" w:name="_Toc127349411"/>
      <w:bookmarkStart w:id="135" w:name="_Toc164083550"/>
      <w:bookmarkStart w:id="136" w:name="_Toc164083616"/>
      <w:bookmarkStart w:id="137" w:name="_Toc164084615"/>
      <w:bookmarkStart w:id="138" w:name="_Toc164090220"/>
      <w:bookmarkStart w:id="139" w:name="_Toc164178113"/>
      <w:bookmarkStart w:id="140" w:name="_Toc168488956"/>
      <w:bookmarkStart w:id="141" w:name="_Toc168581121"/>
      <w:bookmarkStart w:id="142" w:name="_Toc166837363"/>
      <w:bookmarkStart w:id="143" w:name="_Toc168488989"/>
      <w:r>
        <w:rPr>
          <w:rFonts w:ascii="Times New Roman"/>
          <w:color w:val="000000" w:themeColor="text1"/>
          <w:szCs w:val="21"/>
          <w14:textFill>
            <w14:solidFill>
              <w14:schemeClr w14:val="tx1"/>
            </w14:solidFill>
          </w14:textFill>
        </w:rPr>
        <w:t>术语和定义</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sdt>
      <w:sdtPr>
        <w:rPr>
          <w:rFonts w:ascii="Times New Roman"/>
          <w:color w:val="000000" w:themeColor="text1"/>
          <w14:textFill>
            <w14:solidFill>
              <w14:schemeClr w14:val="tx1"/>
            </w14:solidFill>
          </w14:textFill>
        </w:rPr>
        <w:id w:val="-1909835108"/>
        <w:placeholder>
          <w:docPart w:val="77DB8BC229194CFB9AA06EF0F4EF8AC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Times New Roman"/>
          <w:color w:val="000000" w:themeColor="text1"/>
          <w14:textFill>
            <w14:solidFill>
              <w14:schemeClr w14:val="tx1"/>
            </w14:solidFill>
          </w14:textFill>
        </w:rPr>
      </w:sdtEndPr>
      <w:sdtContent>
        <w:p w14:paraId="174FF409">
          <w:pPr>
            <w:pStyle w:val="58"/>
            <w:ind w:firstLine="420"/>
            <w:rPr>
              <w:rFonts w:ascii="Times New Roman"/>
              <w:color w:val="000000" w:themeColor="text1"/>
              <w14:textFill>
                <w14:solidFill>
                  <w14:schemeClr w14:val="tx1"/>
                </w14:solidFill>
              </w14:textFill>
            </w:rPr>
          </w:pPr>
          <w:bookmarkStart w:id="144" w:name="_Toc26986532"/>
          <w:bookmarkEnd w:id="144"/>
          <w:r>
            <w:rPr>
              <w:rFonts w:ascii="Times New Roman"/>
              <w:color w:val="000000" w:themeColor="text1"/>
              <w14:textFill>
                <w14:solidFill>
                  <w14:schemeClr w14:val="tx1"/>
                </w14:solidFill>
              </w14:textFill>
            </w:rPr>
            <w:t>下列术语和定义适用于本文件。</w:t>
          </w:r>
        </w:p>
      </w:sdtContent>
    </w:sdt>
    <w:p w14:paraId="28F820A3">
      <w:pPr>
        <w:pStyle w:val="225"/>
        <w:ind w:left="420" w:hanging="420" w:hangingChars="200"/>
        <w:rPr>
          <w:rFonts w:ascii="黑体" w:hAnsi="黑体" w:eastAsia="黑体"/>
        </w:rPr>
      </w:pPr>
      <w:bookmarkStart w:id="145" w:name="_Toc164170403"/>
      <w:bookmarkStart w:id="146" w:name="_Toc164089823"/>
      <w:bookmarkStart w:id="147" w:name="_Toc164150067"/>
      <w:bookmarkStart w:id="148" w:name="_Toc164178114"/>
      <w:bookmarkStart w:id="149" w:name="_Toc164083617"/>
      <w:bookmarkStart w:id="150" w:name="_Toc166835534"/>
      <w:bookmarkStart w:id="151" w:name="_Toc164089091"/>
      <w:bookmarkStart w:id="152" w:name="_Toc166253761"/>
      <w:bookmarkStart w:id="153" w:name="_Toc164084616"/>
      <w:bookmarkStart w:id="154" w:name="_Toc168488957"/>
      <w:bookmarkStart w:id="155" w:name="_Toc164089677"/>
      <w:bookmarkStart w:id="156" w:name="_Toc164154403"/>
      <w:bookmarkStart w:id="157" w:name="_Toc163811054"/>
      <w:bookmarkStart w:id="158" w:name="_Toc127349385"/>
      <w:bookmarkStart w:id="159" w:name="_Toc164083551"/>
      <w:bookmarkStart w:id="160" w:name="_Toc164090111"/>
      <w:bookmarkStart w:id="161" w:name="_Toc166223084"/>
      <w:bookmarkStart w:id="162" w:name="_Toc164090221"/>
      <w:bookmarkStart w:id="163" w:name="_Toc166837364"/>
    </w:p>
    <w:p w14:paraId="7151AA60">
      <w:pPr>
        <w:pStyle w:val="225"/>
        <w:numPr>
          <w:ilvl w:val="0"/>
          <w:numId w:val="0"/>
        </w:numPr>
        <w:ind w:left="420"/>
        <w:rPr>
          <w:rFonts w:ascii="黑体" w:hAnsi="黑体" w:eastAsia="黑体"/>
        </w:rPr>
      </w:pPr>
      <w:r>
        <w:rPr>
          <w:rFonts w:ascii="黑体" w:hAnsi="黑体" w:eastAsia="黑体"/>
        </w:rPr>
        <w:t>儿童预防接种门诊 children vaccination clinic</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3217AF7F">
      <w:pPr>
        <w:pStyle w:val="58"/>
        <w:ind w:firstLine="42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设置在符合条件的医疗机构，由县级以上地方人民政府疾控主管部门会同卫生健康主管部门指定，具备预防保健科诊疗科目，为责任区域内18周岁以下人群接种免疫规划疫苗、非免疫规划疫苗和群体性预防接种疫苗（人用狂犬病疫苗除外）的预防接种门诊。</w:t>
      </w:r>
      <w:bookmarkStart w:id="164" w:name="_Toc164089678"/>
      <w:bookmarkStart w:id="165" w:name="_Toc164178115"/>
      <w:bookmarkStart w:id="166" w:name="_Toc164089092"/>
      <w:bookmarkStart w:id="167" w:name="_Toc163811055"/>
      <w:bookmarkStart w:id="168" w:name="_Toc164083618"/>
      <w:bookmarkStart w:id="169" w:name="_Toc164084617"/>
      <w:bookmarkStart w:id="170" w:name="_Toc164090112"/>
      <w:bookmarkStart w:id="171" w:name="_Toc164083552"/>
      <w:bookmarkStart w:id="172" w:name="_Toc164089824"/>
      <w:bookmarkStart w:id="173" w:name="_Toc164090222"/>
      <w:bookmarkStart w:id="174" w:name="_Toc164150068"/>
      <w:bookmarkStart w:id="175" w:name="_Toc164154404"/>
      <w:bookmarkStart w:id="176" w:name="_Toc164170404"/>
      <w:bookmarkStart w:id="177" w:name="_Toc166253762"/>
      <w:bookmarkStart w:id="178" w:name="_Toc166223085"/>
      <w:bookmarkStart w:id="179" w:name="_Toc166837365"/>
      <w:bookmarkStart w:id="180" w:name="_Toc166835535"/>
      <w:bookmarkStart w:id="181" w:name="_Toc168488958"/>
    </w:p>
    <w:p w14:paraId="1A952D36">
      <w:pPr>
        <w:pStyle w:val="225"/>
        <w:ind w:left="420" w:hanging="420" w:hangingChars="200"/>
        <w:rPr>
          <w:rFonts w:ascii="黑体" w:hAnsi="黑体" w:eastAsia="黑体"/>
        </w:rPr>
      </w:pPr>
      <w:r>
        <w:rPr>
          <w:rFonts w:ascii="黑体" w:hAnsi="黑体" w:eastAsia="黑体"/>
        </w:rPr>
        <w:br w:type="textWrapping"/>
      </w:r>
      <w:r>
        <w:rPr>
          <w:rFonts w:ascii="黑体" w:hAnsi="黑体" w:eastAsia="黑体"/>
        </w:rPr>
        <w:t>成人预防接种门诊 adult vaccination clinic</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0D807EE3">
      <w:pPr>
        <w:pStyle w:val="58"/>
        <w:ind w:firstLine="42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设置在符合条件的医疗机构，经颁发其医疗机构执业许可证的卫生健康主管部门备案，具备预防保健科诊疗科目，为18周岁及以上人群接种非免疫规划疫苗和群体性预防接种疫苗（人用狂犬病疫苗除外）的预防接种门诊。</w:t>
      </w:r>
      <w:bookmarkStart w:id="182" w:name="_Toc166223086"/>
      <w:bookmarkStart w:id="183" w:name="_Toc164154405"/>
      <w:bookmarkStart w:id="184" w:name="_Toc168488959"/>
      <w:bookmarkStart w:id="185" w:name="_Toc164083619"/>
      <w:bookmarkStart w:id="186" w:name="_Toc164089093"/>
      <w:bookmarkStart w:id="187" w:name="_Toc164150069"/>
      <w:bookmarkStart w:id="188" w:name="_Toc164170405"/>
      <w:bookmarkStart w:id="189" w:name="_Toc166253763"/>
      <w:bookmarkStart w:id="190" w:name="_Toc164083553"/>
      <w:bookmarkStart w:id="191" w:name="_Toc164090223"/>
      <w:bookmarkStart w:id="192" w:name="_Toc166835536"/>
      <w:bookmarkStart w:id="193" w:name="_Toc164089825"/>
      <w:bookmarkStart w:id="194" w:name="_Toc163811056"/>
      <w:bookmarkStart w:id="195" w:name="_Toc164084618"/>
      <w:bookmarkStart w:id="196" w:name="_Toc164089679"/>
      <w:bookmarkStart w:id="197" w:name="_Toc164090113"/>
      <w:bookmarkStart w:id="198" w:name="_Toc164178116"/>
      <w:bookmarkStart w:id="199" w:name="_Toc166837366"/>
    </w:p>
    <w:p w14:paraId="1C615B29">
      <w:pPr>
        <w:pStyle w:val="225"/>
        <w:ind w:left="420" w:hanging="420" w:hangingChars="200"/>
        <w:rPr>
          <w:rFonts w:ascii="黑体" w:hAnsi="黑体" w:eastAsia="黑体"/>
        </w:rPr>
      </w:pPr>
      <w:r>
        <w:rPr>
          <w:rFonts w:ascii="黑体" w:hAnsi="黑体" w:eastAsia="黑体"/>
        </w:rPr>
        <w:br w:type="textWrapping"/>
      </w:r>
      <w:r>
        <w:rPr>
          <w:rFonts w:ascii="黑体" w:hAnsi="黑体" w:eastAsia="黑体"/>
        </w:rPr>
        <w:t>产科预防接种室 obstetric vaccination room</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0FA4501E">
      <w:pPr>
        <w:pStyle w:val="58"/>
        <w:ind w:firstLine="42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设置在符合条件的医疗机构，由县级以上地方人民政府疾控主管部门会同卫生健康主管部门指定，具备预防保健科和妇产科诊疗科目，为在该医疗机构内出生的新生儿接种首针乙肝疫苗、卡介苗，为乙肝感染孕产妇所生新生儿及时接种乙肝免疫球蛋白，并根据需要提供新生儿非免疫规划疫苗接种服务的预防接种室。</w:t>
      </w:r>
      <w:bookmarkStart w:id="200" w:name="_Toc166253764"/>
      <w:bookmarkStart w:id="201" w:name="_Toc164170406"/>
      <w:bookmarkStart w:id="202" w:name="_Toc166835537"/>
      <w:bookmarkStart w:id="203" w:name="_Toc168488960"/>
      <w:bookmarkStart w:id="204" w:name="_Toc164090224"/>
      <w:bookmarkStart w:id="205" w:name="_Toc164154406"/>
      <w:bookmarkStart w:id="206" w:name="_Toc164089826"/>
      <w:bookmarkStart w:id="207" w:name="_Toc164178117"/>
      <w:bookmarkStart w:id="208" w:name="_Toc164089680"/>
      <w:bookmarkStart w:id="209" w:name="_Toc166837367"/>
      <w:bookmarkStart w:id="210" w:name="_Toc163811057"/>
      <w:bookmarkStart w:id="211" w:name="_Toc164083554"/>
      <w:bookmarkStart w:id="212" w:name="_Toc164084619"/>
      <w:bookmarkStart w:id="213" w:name="_Toc164090114"/>
      <w:bookmarkStart w:id="214" w:name="_Toc164083620"/>
      <w:bookmarkStart w:id="215" w:name="_Toc164089094"/>
      <w:bookmarkStart w:id="216" w:name="_Toc164150070"/>
      <w:bookmarkStart w:id="217" w:name="_Toc166223087"/>
    </w:p>
    <w:p w14:paraId="4C608523">
      <w:pPr>
        <w:pStyle w:val="225"/>
        <w:ind w:left="420" w:hanging="420" w:hangingChars="200"/>
        <w:rPr>
          <w:rFonts w:ascii="黑体" w:hAnsi="黑体" w:eastAsia="黑体"/>
        </w:rPr>
      </w:pPr>
      <w:r>
        <w:rPr>
          <w:rFonts w:ascii="黑体" w:hAnsi="黑体" w:eastAsia="黑体"/>
        </w:rPr>
        <w:br w:type="textWrapping"/>
      </w:r>
      <w:r>
        <w:rPr>
          <w:rFonts w:ascii="黑体" w:hAnsi="黑体" w:eastAsia="黑体"/>
        </w:rPr>
        <w:t>狂犬病暴露预防处置门诊 rabies exposure prophylaxis clinic</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26EA068E">
      <w:pPr>
        <w:pStyle w:val="58"/>
        <w:ind w:firstLine="42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设置在符合条件的医疗机构，经颁发其医疗机构执业许可证的卫生健康主管部门备案，具备预防保健科和外科诊疗科目，为狂犬病暴露者或狂犬病高暴露风险者提供暴露后伤口处置、</w:t>
      </w:r>
      <w:r>
        <w:rPr>
          <w:rFonts w:hint="eastAsia" w:ascii="Times New Roman"/>
          <w:color w:val="000000" w:themeColor="text1"/>
          <w14:textFill>
            <w14:solidFill>
              <w14:schemeClr w14:val="tx1"/>
            </w14:solidFill>
          </w14:textFill>
        </w:rPr>
        <w:t>暴露前狂犬病疫苗预防接种服务、暴露后狂犬病疫苗及被动免疫制剂预防接种服务</w:t>
      </w:r>
      <w:r>
        <w:rPr>
          <w:rFonts w:ascii="Times New Roman"/>
          <w:color w:val="000000" w:themeColor="text1"/>
          <w14:textFill>
            <w14:solidFill>
              <w14:schemeClr w14:val="tx1"/>
            </w14:solidFill>
          </w14:textFill>
        </w:rPr>
        <w:t>，并根据需要提供破伤风暴露前和单独暴露后预防接种服务的预防接种门诊。</w:t>
      </w:r>
      <w:bookmarkStart w:id="218" w:name="_Toc164089095"/>
      <w:bookmarkStart w:id="219" w:name="_Toc164083555"/>
      <w:bookmarkStart w:id="220" w:name="_Toc166223088"/>
      <w:bookmarkStart w:id="221" w:name="_Toc168488961"/>
      <w:bookmarkStart w:id="222" w:name="_Toc166835538"/>
      <w:bookmarkStart w:id="223" w:name="_Toc164170407"/>
      <w:bookmarkStart w:id="224" w:name="_Toc164154407"/>
      <w:bookmarkStart w:id="225" w:name="_Toc163811058"/>
      <w:bookmarkStart w:id="226" w:name="_Toc164083621"/>
      <w:bookmarkStart w:id="227" w:name="_Toc164089681"/>
      <w:bookmarkStart w:id="228" w:name="_Toc164089827"/>
      <w:bookmarkStart w:id="229" w:name="_Toc127349386"/>
      <w:bookmarkStart w:id="230" w:name="_Toc164090225"/>
      <w:bookmarkStart w:id="231" w:name="_Toc166253765"/>
      <w:bookmarkStart w:id="232" w:name="_Toc164178118"/>
      <w:bookmarkStart w:id="233" w:name="_Toc164090115"/>
      <w:bookmarkStart w:id="234" w:name="_Toc166837368"/>
      <w:bookmarkStart w:id="235" w:name="_Toc164150071"/>
      <w:bookmarkStart w:id="236" w:name="_Toc164084620"/>
    </w:p>
    <w:p w14:paraId="172F87E3">
      <w:pPr>
        <w:pStyle w:val="225"/>
        <w:ind w:left="420" w:hanging="420" w:hangingChars="200"/>
        <w:rPr>
          <w:rFonts w:ascii="黑体" w:hAnsi="黑体" w:eastAsia="黑体"/>
        </w:rPr>
      </w:pPr>
      <w:r>
        <w:rPr>
          <w:rFonts w:ascii="黑体" w:hAnsi="黑体" w:eastAsia="黑体"/>
        </w:rPr>
        <w:br w:type="textWrapping"/>
      </w:r>
      <w:r>
        <w:rPr>
          <w:rFonts w:ascii="黑体" w:hAnsi="黑体" w:eastAsia="黑体"/>
        </w:rPr>
        <w:t>预防接种综合服务管理信息系统 integrated vaccination service management information system</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157CD274">
      <w:pPr>
        <w:pStyle w:val="58"/>
        <w:ind w:firstLine="42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将计算机技术和互联网技术综合应用于预防接种服务与管理、数据存储、交换和利用的信息系统。</w:t>
      </w:r>
    </w:p>
    <w:p w14:paraId="70A26E73">
      <w:pPr>
        <w:pStyle w:val="106"/>
        <w:spacing w:before="312" w:after="312"/>
        <w:rPr>
          <w:rFonts w:ascii="Times New Roman"/>
          <w:color w:val="000000" w:themeColor="text1"/>
          <w14:textFill>
            <w14:solidFill>
              <w14:schemeClr w14:val="tx1"/>
            </w14:solidFill>
          </w14:textFill>
        </w:rPr>
      </w:pPr>
      <w:bookmarkStart w:id="237" w:name="_Toc164083622"/>
      <w:bookmarkStart w:id="238" w:name="_Toc164084621"/>
      <w:bookmarkStart w:id="239" w:name="_Toc163811059"/>
      <w:bookmarkStart w:id="240" w:name="_Toc164089096"/>
      <w:bookmarkStart w:id="241" w:name="_Toc164090226"/>
      <w:bookmarkStart w:id="242" w:name="_Toc164150072"/>
      <w:bookmarkStart w:id="243" w:name="_Toc168488962"/>
      <w:bookmarkStart w:id="244" w:name="_Toc168581122"/>
      <w:bookmarkStart w:id="245" w:name="_Toc164090116"/>
      <w:bookmarkStart w:id="246" w:name="_Toc166223089"/>
      <w:bookmarkStart w:id="247" w:name="_Toc164089682"/>
      <w:bookmarkStart w:id="248" w:name="_Toc164089828"/>
      <w:bookmarkStart w:id="249" w:name="_Toc164170408"/>
      <w:bookmarkStart w:id="250" w:name="_Toc164178119"/>
      <w:bookmarkStart w:id="251" w:name="_Toc166835539"/>
      <w:bookmarkStart w:id="252" w:name="_Toc168488990"/>
      <w:bookmarkStart w:id="253" w:name="_Toc164083556"/>
      <w:bookmarkStart w:id="254" w:name="_Toc166253766"/>
      <w:bookmarkStart w:id="255" w:name="_Toc164154408"/>
      <w:bookmarkStart w:id="256" w:name="_Toc166837369"/>
      <w:r>
        <w:rPr>
          <w:rFonts w:ascii="Times New Roman"/>
          <w:color w:val="000000" w:themeColor="text1"/>
          <w14:textFill>
            <w14:solidFill>
              <w14:schemeClr w14:val="tx1"/>
            </w14:solidFill>
          </w14:textFill>
        </w:rPr>
        <w:t>儿童预防接种门诊</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22742877">
      <w:pPr>
        <w:pStyle w:val="107"/>
        <w:spacing w:before="156" w:after="156"/>
        <w:rPr>
          <w:rFonts w:ascii="Times New Roman"/>
          <w:color w:val="000000" w:themeColor="text1"/>
          <w14:textFill>
            <w14:solidFill>
              <w14:schemeClr w14:val="tx1"/>
            </w14:solidFill>
          </w14:textFill>
        </w:rPr>
      </w:pPr>
      <w:bookmarkStart w:id="257" w:name="_Toc164083627"/>
      <w:bookmarkStart w:id="258" w:name="_Toc164084622"/>
      <w:bookmarkStart w:id="259" w:name="_Toc164089097"/>
      <w:bookmarkStart w:id="260" w:name="_Toc164089683"/>
      <w:bookmarkStart w:id="261" w:name="_Toc164089829"/>
      <w:bookmarkStart w:id="262" w:name="_Toc127349391"/>
      <w:bookmarkStart w:id="263" w:name="_Toc127349413"/>
      <w:bookmarkStart w:id="264" w:name="_Toc163811061"/>
      <w:bookmarkStart w:id="265" w:name="_Toc164083558"/>
      <w:bookmarkStart w:id="266" w:name="_Toc166837370"/>
      <w:bookmarkStart w:id="267" w:name="_Toc166253767"/>
      <w:bookmarkStart w:id="268" w:name="_Toc164090117"/>
      <w:bookmarkStart w:id="269" w:name="_Toc164154409"/>
      <w:bookmarkStart w:id="270" w:name="_Toc166223090"/>
      <w:bookmarkStart w:id="271" w:name="_Toc166835540"/>
      <w:bookmarkStart w:id="272" w:name="_Toc164150073"/>
      <w:bookmarkStart w:id="273" w:name="_Toc168488963"/>
      <w:bookmarkStart w:id="274" w:name="_Toc164178120"/>
      <w:bookmarkStart w:id="275" w:name="_Toc164090227"/>
      <w:bookmarkStart w:id="276" w:name="_Toc164170409"/>
      <w:r>
        <w:rPr>
          <w:rFonts w:ascii="Times New Roman"/>
          <w:color w:val="000000" w:themeColor="text1"/>
          <w14:textFill>
            <w14:solidFill>
              <w14:schemeClr w14:val="tx1"/>
            </w14:solidFill>
          </w14:textFill>
        </w:rPr>
        <w:t>基础配置</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Start w:id="277" w:name="_Toc127349392"/>
      <w:bookmarkStart w:id="278" w:name="_Toc164083628"/>
      <w:bookmarkStart w:id="279" w:name="_Toc164084623"/>
    </w:p>
    <w:p w14:paraId="5D412C47">
      <w:pPr>
        <w:pStyle w:val="67"/>
        <w:spacing w:before="156" w:after="156"/>
        <w:ind w:left="0"/>
        <w:rPr>
          <w:rFonts w:ascii="Times New Roman"/>
          <w:color w:val="000000" w:themeColor="text1"/>
          <w14:textFill>
            <w14:solidFill>
              <w14:schemeClr w14:val="tx1"/>
            </w14:solidFill>
          </w14:textFill>
        </w:rPr>
      </w:pPr>
      <w:bookmarkStart w:id="280" w:name="_Toc164154410"/>
      <w:bookmarkStart w:id="281" w:name="_Toc166835541"/>
      <w:bookmarkStart w:id="282" w:name="_Toc164150074"/>
      <w:bookmarkStart w:id="283" w:name="_Toc164089684"/>
      <w:bookmarkStart w:id="284" w:name="_Toc164090118"/>
      <w:bookmarkStart w:id="285" w:name="_Toc164090228"/>
      <w:bookmarkStart w:id="286" w:name="_Toc164178121"/>
      <w:bookmarkStart w:id="287" w:name="_Toc166223091"/>
      <w:bookmarkStart w:id="288" w:name="_Toc164089098"/>
      <w:bookmarkStart w:id="289" w:name="_Toc164089830"/>
      <w:bookmarkStart w:id="290" w:name="_Toc164170410"/>
      <w:bookmarkStart w:id="291" w:name="_Toc166253768"/>
      <w:bookmarkStart w:id="292" w:name="_Toc166837371"/>
      <w:r>
        <w:rPr>
          <w:rFonts w:ascii="Times New Roman"/>
          <w:color w:val="000000" w:themeColor="text1"/>
          <w14:textFill>
            <w14:solidFill>
              <w14:schemeClr w14:val="tx1"/>
            </w14:solidFill>
          </w14:textFill>
        </w:rPr>
        <w:t>房屋配备</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284C91D6">
      <w:pPr>
        <w:pStyle w:val="58"/>
        <w:ind w:firstLine="42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配置使用面积不少于110 m</w:t>
      </w:r>
      <w:r>
        <w:rPr>
          <w:rFonts w:ascii="Times New Roman"/>
          <w:color w:val="000000" w:themeColor="text1"/>
          <w:vertAlign w:val="superscript"/>
          <w14:textFill>
            <w14:solidFill>
              <w14:schemeClr w14:val="tx1"/>
            </w14:solidFill>
          </w14:textFill>
        </w:rPr>
        <w:t>2</w:t>
      </w:r>
      <w:r>
        <w:rPr>
          <w:rFonts w:ascii="Times New Roman"/>
          <w:color w:val="000000" w:themeColor="text1"/>
          <w14:textFill>
            <w14:solidFill>
              <w14:schemeClr w14:val="tx1"/>
            </w14:solidFill>
          </w14:textFill>
        </w:rPr>
        <w:t>的预防接种专用房，儿童预防接种门诊应避免与普通门诊、发热门诊、肠道门诊、注射室、病房、放射科、传染病科、化验室等存在潜在感染和损害风险的科室共处同一楼层或共用出入口及通道。</w:t>
      </w:r>
    </w:p>
    <w:p w14:paraId="1C8383C1">
      <w:pPr>
        <w:pStyle w:val="67"/>
        <w:spacing w:before="156" w:after="156"/>
        <w:ind w:left="0"/>
        <w:rPr>
          <w:rFonts w:ascii="Times New Roman"/>
          <w:color w:val="000000" w:themeColor="text1"/>
          <w14:textFill>
            <w14:solidFill>
              <w14:schemeClr w14:val="tx1"/>
            </w14:solidFill>
          </w14:textFill>
        </w:rPr>
      </w:pPr>
      <w:bookmarkStart w:id="293" w:name="_Toc164178122"/>
      <w:bookmarkStart w:id="294" w:name="_Toc166223092"/>
      <w:bookmarkStart w:id="295" w:name="_Toc164089099"/>
      <w:bookmarkStart w:id="296" w:name="_Toc164083629"/>
      <w:bookmarkStart w:id="297" w:name="_Toc164089685"/>
      <w:bookmarkStart w:id="298" w:name="_Toc164089831"/>
      <w:bookmarkStart w:id="299" w:name="_Toc164090119"/>
      <w:bookmarkStart w:id="300" w:name="_Toc164090229"/>
      <w:bookmarkStart w:id="301" w:name="_Toc164084624"/>
      <w:bookmarkStart w:id="302" w:name="_Toc164150075"/>
      <w:bookmarkStart w:id="303" w:name="_Toc164154411"/>
      <w:bookmarkStart w:id="304" w:name="_Toc127349393"/>
      <w:bookmarkStart w:id="305" w:name="_Toc164170411"/>
      <w:bookmarkStart w:id="306" w:name="_Toc166253769"/>
      <w:bookmarkStart w:id="307" w:name="_Toc166837372"/>
      <w:bookmarkStart w:id="308" w:name="_Toc166835542"/>
      <w:r>
        <w:rPr>
          <w:rFonts w:ascii="Times New Roman"/>
          <w:color w:val="000000" w:themeColor="text1"/>
          <w14:textFill>
            <w14:solidFill>
              <w14:schemeClr w14:val="tx1"/>
            </w14:solidFill>
          </w14:textFill>
        </w:rPr>
        <w:t>功能分区和布局</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7C6241C0">
      <w:pPr>
        <w:pStyle w:val="58"/>
        <w:ind w:firstLine="42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设置候诊室/区、健康询问室/区、登记/知情告知室/区、接种室/区、留观室/区、疑似预防接种异常反应处置室/区、冷链室/区等。健康询问、登记/知情告知室/区可根据需要合并，候诊室/区、接种室/区、留观室/区要相对隔离。冷链室/区应独立设置，面积不少于10 m</w:t>
      </w:r>
      <w:r>
        <w:rPr>
          <w:rFonts w:ascii="Times New Roman"/>
          <w:color w:val="000000" w:themeColor="text1"/>
          <w:vertAlign w:val="superscript"/>
          <w14:textFill>
            <w14:solidFill>
              <w14:schemeClr w14:val="tx1"/>
            </w14:solidFill>
          </w14:textFill>
        </w:rPr>
        <w:t>2</w:t>
      </w:r>
      <w:r>
        <w:rPr>
          <w:rFonts w:ascii="Times New Roman"/>
          <w:color w:val="000000" w:themeColor="text1"/>
          <w14:textFill>
            <w14:solidFill>
              <w14:schemeClr w14:val="tx1"/>
            </w14:solidFill>
          </w14:textFill>
        </w:rPr>
        <w:t>。按照候诊、健康询问、登记/知情告知、接种、留观的先后顺序合理布局，人员入口、出口分开设置。</w:t>
      </w:r>
    </w:p>
    <w:p w14:paraId="60815D42">
      <w:pPr>
        <w:pStyle w:val="107"/>
        <w:spacing w:before="156" w:after="156"/>
        <w:rPr>
          <w:rFonts w:ascii="Times New Roman"/>
          <w:color w:val="000000" w:themeColor="text1"/>
          <w14:textFill>
            <w14:solidFill>
              <w14:schemeClr w14:val="tx1"/>
            </w14:solidFill>
          </w14:textFill>
        </w:rPr>
      </w:pPr>
      <w:bookmarkStart w:id="309" w:name="_Toc127349414"/>
      <w:bookmarkStart w:id="310" w:name="_Toc164083559"/>
      <w:bookmarkStart w:id="311" w:name="_Toc164089100"/>
      <w:bookmarkStart w:id="312" w:name="_Toc164089686"/>
      <w:bookmarkStart w:id="313" w:name="_Toc164084625"/>
      <w:bookmarkStart w:id="314" w:name="_Toc164089832"/>
      <w:bookmarkStart w:id="315" w:name="_Toc127349394"/>
      <w:bookmarkStart w:id="316" w:name="_Toc164083630"/>
      <w:bookmarkStart w:id="317" w:name="_Toc163811062"/>
      <w:bookmarkStart w:id="318" w:name="_Toc164090120"/>
      <w:bookmarkStart w:id="319" w:name="_Toc164090230"/>
      <w:bookmarkStart w:id="320" w:name="_Toc164154412"/>
      <w:bookmarkStart w:id="321" w:name="_Toc164170412"/>
      <w:bookmarkStart w:id="322" w:name="_Toc164178123"/>
      <w:bookmarkStart w:id="323" w:name="_Toc164150076"/>
      <w:bookmarkStart w:id="324" w:name="_Toc166223093"/>
      <w:bookmarkStart w:id="325" w:name="_Toc166835543"/>
      <w:bookmarkStart w:id="326" w:name="_Toc168488964"/>
      <w:bookmarkStart w:id="327" w:name="_Toc166253770"/>
      <w:bookmarkStart w:id="328" w:name="_Toc166837373"/>
      <w:r>
        <w:rPr>
          <w:rFonts w:ascii="Times New Roman"/>
          <w:color w:val="000000" w:themeColor="text1"/>
          <w14:textFill>
            <w14:solidFill>
              <w14:schemeClr w14:val="tx1"/>
            </w14:solidFill>
          </w14:textFill>
        </w:rPr>
        <w:t>设施和设备</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5DE38637">
      <w:pPr>
        <w:pStyle w:val="67"/>
        <w:spacing w:before="156" w:after="156"/>
        <w:ind w:left="0"/>
        <w:rPr>
          <w:rFonts w:ascii="Times New Roman"/>
          <w:color w:val="000000" w:themeColor="text1"/>
          <w14:textFill>
            <w14:solidFill>
              <w14:schemeClr w14:val="tx1"/>
            </w14:solidFill>
          </w14:textFill>
        </w:rPr>
      </w:pPr>
      <w:bookmarkStart w:id="329" w:name="_Toc164089687"/>
      <w:bookmarkStart w:id="330" w:name="_Toc164150077"/>
      <w:bookmarkStart w:id="331" w:name="_Toc164083631"/>
      <w:bookmarkStart w:id="332" w:name="_Toc164084626"/>
      <w:bookmarkStart w:id="333" w:name="_Toc164089101"/>
      <w:bookmarkStart w:id="334" w:name="_Toc164089833"/>
      <w:bookmarkStart w:id="335" w:name="_Toc164090231"/>
      <w:bookmarkStart w:id="336" w:name="_Toc164090121"/>
      <w:bookmarkStart w:id="337" w:name="_Toc164154413"/>
      <w:bookmarkStart w:id="338" w:name="_Toc164170413"/>
      <w:bookmarkStart w:id="339" w:name="_Toc164178124"/>
      <w:bookmarkStart w:id="340" w:name="_Toc166253771"/>
      <w:bookmarkStart w:id="341" w:name="_Toc166835544"/>
      <w:bookmarkStart w:id="342" w:name="_Toc166837374"/>
      <w:bookmarkStart w:id="343" w:name="_Toc166223094"/>
      <w:r>
        <w:rPr>
          <w:rFonts w:ascii="Times New Roman"/>
          <w:color w:val="000000" w:themeColor="text1"/>
          <w14:textFill>
            <w14:solidFill>
              <w14:schemeClr w14:val="tx1"/>
            </w14:solidFill>
          </w14:textFill>
        </w:rPr>
        <w:t>整体要求</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7CA0D2A1">
      <w:pPr>
        <w:pStyle w:val="58"/>
        <w:ind w:firstLine="42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各功能室/区均应有明显的标识。配备空气消毒、降温防寒、视频监控等设备，并根据需要配备医疗废物垃圾桶与生活垃圾桶。</w:t>
      </w:r>
    </w:p>
    <w:p w14:paraId="40BD64D9">
      <w:pPr>
        <w:pStyle w:val="67"/>
        <w:spacing w:before="156" w:after="156"/>
        <w:ind w:left="0"/>
        <w:rPr>
          <w:rFonts w:ascii="Times New Roman"/>
          <w:color w:val="000000" w:themeColor="text1"/>
          <w14:textFill>
            <w14:solidFill>
              <w14:schemeClr w14:val="tx1"/>
            </w14:solidFill>
          </w14:textFill>
        </w:rPr>
      </w:pPr>
      <w:bookmarkStart w:id="344" w:name="_Toc164083632"/>
      <w:bookmarkStart w:id="345" w:name="_Toc164089688"/>
      <w:bookmarkStart w:id="346" w:name="_Toc164090122"/>
      <w:bookmarkStart w:id="347" w:name="_Toc127349395"/>
      <w:bookmarkStart w:id="348" w:name="_Toc164084627"/>
      <w:bookmarkStart w:id="349" w:name="_Toc164089834"/>
      <w:bookmarkStart w:id="350" w:name="_Toc164090232"/>
      <w:bookmarkStart w:id="351" w:name="_Toc164150078"/>
      <w:bookmarkStart w:id="352" w:name="_Toc164154414"/>
      <w:bookmarkStart w:id="353" w:name="_Toc164089102"/>
      <w:bookmarkStart w:id="354" w:name="_Toc166837375"/>
      <w:bookmarkStart w:id="355" w:name="_Toc166835545"/>
      <w:bookmarkStart w:id="356" w:name="_Toc164178125"/>
      <w:bookmarkStart w:id="357" w:name="_Toc166253772"/>
      <w:bookmarkStart w:id="358" w:name="_Toc166223095"/>
      <w:bookmarkStart w:id="359" w:name="_Toc164170414"/>
      <w:r>
        <w:rPr>
          <w:rFonts w:ascii="Times New Roman"/>
          <w:color w:val="000000" w:themeColor="text1"/>
          <w14:textFill>
            <w14:solidFill>
              <w14:schemeClr w14:val="tx1"/>
            </w14:solidFill>
          </w14:textFill>
        </w:rPr>
        <w:t>候诊室/区</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3CD2A423">
      <w:pPr>
        <w:pStyle w:val="58"/>
        <w:ind w:firstLine="42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配备取号机、电子显示屏（显示候种者姓名、接种室/区或台号等）、座椅和健康教育等设备。</w:t>
      </w:r>
    </w:p>
    <w:p w14:paraId="77EF9B3E">
      <w:pPr>
        <w:pStyle w:val="67"/>
        <w:spacing w:before="156" w:after="156"/>
        <w:ind w:left="0"/>
        <w:rPr>
          <w:rFonts w:ascii="Times New Roman"/>
          <w:color w:val="000000" w:themeColor="text1"/>
          <w14:textFill>
            <w14:solidFill>
              <w14:schemeClr w14:val="tx1"/>
            </w14:solidFill>
          </w14:textFill>
        </w:rPr>
      </w:pPr>
      <w:bookmarkStart w:id="360" w:name="_Toc164090233"/>
      <w:bookmarkStart w:id="361" w:name="_Toc164150079"/>
      <w:bookmarkStart w:id="362" w:name="_Toc164090123"/>
      <w:bookmarkStart w:id="363" w:name="_Toc164154415"/>
      <w:bookmarkStart w:id="364" w:name="_Toc166253773"/>
      <w:bookmarkStart w:id="365" w:name="_Toc166835546"/>
      <w:bookmarkStart w:id="366" w:name="_Toc166837376"/>
      <w:bookmarkStart w:id="367" w:name="_Toc164178126"/>
      <w:bookmarkStart w:id="368" w:name="_Toc166223096"/>
      <w:bookmarkStart w:id="369" w:name="_Toc164170415"/>
      <w:bookmarkStart w:id="370" w:name="_Toc164089689"/>
      <w:bookmarkStart w:id="371" w:name="_Toc164089103"/>
      <w:bookmarkStart w:id="372" w:name="_Toc164089835"/>
      <w:r>
        <w:rPr>
          <w:rFonts w:ascii="Times New Roman"/>
          <w:color w:val="000000" w:themeColor="text1"/>
          <w14:textFill>
            <w14:solidFill>
              <w14:schemeClr w14:val="tx1"/>
            </w14:solidFill>
          </w14:textFill>
        </w:rPr>
        <w:t>健康询问室/区</w:t>
      </w:r>
      <w:bookmarkEnd w:id="360"/>
      <w:bookmarkEnd w:id="361"/>
      <w:bookmarkEnd w:id="362"/>
      <w:bookmarkEnd w:id="363"/>
      <w:bookmarkEnd w:id="364"/>
      <w:bookmarkEnd w:id="365"/>
      <w:bookmarkEnd w:id="366"/>
      <w:bookmarkEnd w:id="367"/>
      <w:bookmarkEnd w:id="368"/>
      <w:bookmarkEnd w:id="369"/>
      <w:bookmarkEnd w:id="370"/>
      <w:bookmarkEnd w:id="371"/>
      <w:bookmarkEnd w:id="372"/>
    </w:p>
    <w:p w14:paraId="3E239322">
      <w:pPr>
        <w:pStyle w:val="58"/>
        <w:ind w:firstLine="42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配备健康询问台、计算机、网络、打印机、电子核签仪、听诊器、血压计、体温计、压舌板等设备及器械。</w:t>
      </w:r>
    </w:p>
    <w:p w14:paraId="75D051B2">
      <w:pPr>
        <w:pStyle w:val="67"/>
        <w:spacing w:before="156" w:after="156"/>
        <w:ind w:left="0"/>
        <w:rPr>
          <w:rFonts w:ascii="Times New Roman"/>
          <w:color w:val="000000" w:themeColor="text1"/>
          <w14:textFill>
            <w14:solidFill>
              <w14:schemeClr w14:val="tx1"/>
            </w14:solidFill>
          </w14:textFill>
        </w:rPr>
      </w:pPr>
      <w:bookmarkStart w:id="373" w:name="_Toc164089690"/>
      <w:bookmarkStart w:id="374" w:name="_Toc164090124"/>
      <w:bookmarkStart w:id="375" w:name="_Toc164090234"/>
      <w:bookmarkStart w:id="376" w:name="_Toc164150080"/>
      <w:bookmarkStart w:id="377" w:name="_Toc164154416"/>
      <w:bookmarkStart w:id="378" w:name="_Toc164089836"/>
      <w:bookmarkStart w:id="379" w:name="_Toc164089104"/>
      <w:bookmarkStart w:id="380" w:name="_Toc164170416"/>
      <w:bookmarkStart w:id="381" w:name="_Toc164178127"/>
      <w:bookmarkStart w:id="382" w:name="_Toc166223097"/>
      <w:bookmarkStart w:id="383" w:name="_Toc166837377"/>
      <w:bookmarkStart w:id="384" w:name="_Toc166835547"/>
      <w:bookmarkStart w:id="385" w:name="_Toc166253774"/>
      <w:r>
        <w:rPr>
          <w:rFonts w:ascii="Times New Roman"/>
          <w:color w:val="000000" w:themeColor="text1"/>
          <w14:textFill>
            <w14:solidFill>
              <w14:schemeClr w14:val="tx1"/>
            </w14:solidFill>
          </w14:textFill>
        </w:rPr>
        <w:t>登记/知情告知室/区</w:t>
      </w:r>
      <w:bookmarkEnd w:id="373"/>
      <w:bookmarkEnd w:id="374"/>
      <w:bookmarkEnd w:id="375"/>
      <w:bookmarkEnd w:id="376"/>
      <w:bookmarkEnd w:id="377"/>
      <w:bookmarkEnd w:id="378"/>
      <w:bookmarkEnd w:id="379"/>
      <w:bookmarkEnd w:id="380"/>
      <w:bookmarkEnd w:id="381"/>
      <w:bookmarkEnd w:id="382"/>
      <w:bookmarkEnd w:id="383"/>
      <w:bookmarkEnd w:id="384"/>
      <w:bookmarkEnd w:id="385"/>
    </w:p>
    <w:p w14:paraId="53DB0B68">
      <w:pPr>
        <w:pStyle w:val="58"/>
        <w:ind w:firstLine="42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配备计算机、网络、身份证读卡器、打印机、电子核签仪、扫码器等设备。</w:t>
      </w:r>
    </w:p>
    <w:p w14:paraId="1551646F">
      <w:pPr>
        <w:pStyle w:val="67"/>
        <w:spacing w:before="156" w:after="156"/>
        <w:ind w:left="0"/>
        <w:rPr>
          <w:rFonts w:ascii="Times New Roman"/>
          <w:color w:val="000000" w:themeColor="text1"/>
          <w14:textFill>
            <w14:solidFill>
              <w14:schemeClr w14:val="tx1"/>
            </w14:solidFill>
          </w14:textFill>
        </w:rPr>
      </w:pPr>
      <w:bookmarkStart w:id="386" w:name="_Toc127349398"/>
      <w:bookmarkStart w:id="387" w:name="_Toc164178128"/>
      <w:bookmarkStart w:id="388" w:name="_Toc166223098"/>
      <w:bookmarkStart w:id="389" w:name="_Toc166253775"/>
      <w:bookmarkStart w:id="390" w:name="_Toc164083635"/>
      <w:bookmarkStart w:id="391" w:name="_Toc164089837"/>
      <w:bookmarkStart w:id="392" w:name="_Toc164089105"/>
      <w:bookmarkStart w:id="393" w:name="_Toc164089691"/>
      <w:bookmarkStart w:id="394" w:name="_Toc164090235"/>
      <w:bookmarkStart w:id="395" w:name="_Toc164154417"/>
      <w:bookmarkStart w:id="396" w:name="_Toc164170417"/>
      <w:bookmarkStart w:id="397" w:name="_Toc164084630"/>
      <w:bookmarkStart w:id="398" w:name="_Toc164090125"/>
      <w:bookmarkStart w:id="399" w:name="_Toc164150081"/>
      <w:bookmarkStart w:id="400" w:name="_Toc166835548"/>
      <w:bookmarkStart w:id="401" w:name="_Toc166837378"/>
      <w:r>
        <w:rPr>
          <w:rFonts w:ascii="Times New Roman"/>
          <w:color w:val="000000" w:themeColor="text1"/>
          <w14:textFill>
            <w14:solidFill>
              <w14:schemeClr w14:val="tx1"/>
            </w14:solidFill>
          </w14:textFill>
        </w:rPr>
        <w:t>接种室/区</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6E86AD05">
      <w:pPr>
        <w:pStyle w:val="58"/>
        <w:ind w:firstLine="42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设立不少于3个接种单元，每个单元面积不少于4 m</w:t>
      </w:r>
      <w:r>
        <w:rPr>
          <w:rFonts w:ascii="Times New Roman"/>
          <w:color w:val="000000" w:themeColor="text1"/>
          <w:vertAlign w:val="superscript"/>
          <w14:textFill>
            <w14:solidFill>
              <w14:schemeClr w14:val="tx1"/>
            </w14:solidFill>
          </w14:textFill>
        </w:rPr>
        <w:t>2</w:t>
      </w:r>
      <w:r>
        <w:rPr>
          <w:rFonts w:ascii="Times New Roman"/>
          <w:color w:val="000000" w:themeColor="text1"/>
          <w14:textFill>
            <w14:solidFill>
              <w14:schemeClr w14:val="tx1"/>
            </w14:solidFill>
          </w14:textFill>
        </w:rPr>
        <w:t>，每个接种单元配备计算机、网络、接种证打印机、扫码器、台式冰箱、消毒棉签、75</w:t>
      </w:r>
      <w:r>
        <w:rPr>
          <w:rFonts w:hint="eastAsia" w:ascii="Times New Roman"/>
          <w:color w:val="000000" w:themeColor="text1"/>
          <w14:textFill>
            <w14:solidFill>
              <w14:schemeClr w14:val="tx1"/>
            </w14:solidFill>
          </w14:textFill>
        </w:rPr>
        <w:t>%</w:t>
      </w:r>
      <w:r>
        <w:rPr>
          <w:rFonts w:ascii="Times New Roman"/>
          <w:color w:val="000000" w:themeColor="text1"/>
          <w14:textFill>
            <w14:solidFill>
              <w14:schemeClr w14:val="tx1"/>
            </w14:solidFill>
          </w14:textFill>
        </w:rPr>
        <w:t>乙醇、手卫生设施、锐（利）器盒、医疗废物桶、非医疗废物桶等。接种台有醒目的疫苗名称标牌</w:t>
      </w:r>
      <w:r>
        <w:rPr>
          <w:rFonts w:hAnsi="宋体"/>
          <w:color w:val="000000" w:themeColor="text1"/>
          <w14:textFill>
            <w14:solidFill>
              <w14:schemeClr w14:val="tx1"/>
            </w14:solidFill>
          </w14:textFill>
        </w:rPr>
        <w:t>、“三查七对一验证”提</w:t>
      </w:r>
      <w:r>
        <w:rPr>
          <w:rFonts w:ascii="Times New Roman"/>
          <w:color w:val="000000" w:themeColor="text1"/>
          <w14:textFill>
            <w14:solidFill>
              <w14:schemeClr w14:val="tx1"/>
            </w14:solidFill>
          </w14:textFill>
        </w:rPr>
        <w:t>示牌。如提供卡介苗接种服务，应单设专用接种单元。</w:t>
      </w:r>
    </w:p>
    <w:p w14:paraId="3FA88995">
      <w:pPr>
        <w:pStyle w:val="67"/>
        <w:spacing w:before="156" w:after="156"/>
        <w:ind w:left="0"/>
        <w:rPr>
          <w:rFonts w:ascii="Times New Roman"/>
          <w:color w:val="000000" w:themeColor="text1"/>
          <w14:textFill>
            <w14:solidFill>
              <w14:schemeClr w14:val="tx1"/>
            </w14:solidFill>
          </w14:textFill>
        </w:rPr>
      </w:pPr>
      <w:bookmarkStart w:id="402" w:name="_Toc164089692"/>
      <w:bookmarkStart w:id="403" w:name="_Toc164090126"/>
      <w:bookmarkStart w:id="404" w:name="_Toc164084631"/>
      <w:bookmarkStart w:id="405" w:name="_Toc164089838"/>
      <w:bookmarkStart w:id="406" w:name="_Toc164083636"/>
      <w:bookmarkStart w:id="407" w:name="_Toc164150082"/>
      <w:bookmarkStart w:id="408" w:name="_Toc164154418"/>
      <w:bookmarkStart w:id="409" w:name="_Toc164170418"/>
      <w:bookmarkStart w:id="410" w:name="_Toc166223099"/>
      <w:bookmarkStart w:id="411" w:name="_Toc166253776"/>
      <w:bookmarkStart w:id="412" w:name="_Toc166835549"/>
      <w:bookmarkStart w:id="413" w:name="_Toc166837379"/>
      <w:bookmarkStart w:id="414" w:name="_Toc164090236"/>
      <w:bookmarkStart w:id="415" w:name="_Toc127349399"/>
      <w:bookmarkStart w:id="416" w:name="_Toc164089106"/>
      <w:bookmarkStart w:id="417" w:name="_Toc164178129"/>
      <w:r>
        <w:rPr>
          <w:rFonts w:ascii="Times New Roman"/>
          <w:color w:val="000000" w:themeColor="text1"/>
          <w14:textFill>
            <w14:solidFill>
              <w14:schemeClr w14:val="tx1"/>
            </w14:solidFill>
          </w14:textFill>
        </w:rPr>
        <w:t>留观室/区</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3FB30134">
      <w:pPr>
        <w:pStyle w:val="58"/>
        <w:ind w:firstLine="42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配备自助留观机、座椅和健康教育等设备。</w:t>
      </w:r>
    </w:p>
    <w:p w14:paraId="51420D31">
      <w:pPr>
        <w:pStyle w:val="67"/>
        <w:spacing w:before="156" w:after="156"/>
        <w:ind w:left="0"/>
        <w:rPr>
          <w:rFonts w:ascii="Times New Roman"/>
          <w:color w:val="000000" w:themeColor="text1"/>
          <w14:textFill>
            <w14:solidFill>
              <w14:schemeClr w14:val="tx1"/>
            </w14:solidFill>
          </w14:textFill>
        </w:rPr>
      </w:pPr>
      <w:bookmarkStart w:id="418" w:name="_Toc127349400"/>
      <w:bookmarkStart w:id="419" w:name="_Toc164089693"/>
      <w:bookmarkStart w:id="420" w:name="_Toc164083637"/>
      <w:bookmarkStart w:id="421" w:name="_Toc164089107"/>
      <w:bookmarkStart w:id="422" w:name="_Toc164089839"/>
      <w:bookmarkStart w:id="423" w:name="_Toc164090127"/>
      <w:bookmarkStart w:id="424" w:name="_Toc164084632"/>
      <w:bookmarkStart w:id="425" w:name="_Toc164154419"/>
      <w:bookmarkStart w:id="426" w:name="_Toc166835550"/>
      <w:bookmarkStart w:id="427" w:name="_Toc164170419"/>
      <w:bookmarkStart w:id="428" w:name="_Toc166837380"/>
      <w:bookmarkStart w:id="429" w:name="_Toc166223100"/>
      <w:bookmarkStart w:id="430" w:name="_Toc164178130"/>
      <w:bookmarkStart w:id="431" w:name="_Toc166253777"/>
      <w:bookmarkStart w:id="432" w:name="_Toc164090237"/>
      <w:bookmarkStart w:id="433" w:name="_Toc164150083"/>
      <w:r>
        <w:rPr>
          <w:rFonts w:ascii="Times New Roman"/>
          <w:color w:val="000000" w:themeColor="text1"/>
          <w14:textFill>
            <w14:solidFill>
              <w14:schemeClr w14:val="tx1"/>
            </w14:solidFill>
          </w14:textFill>
        </w:rPr>
        <w:t>冷链室/区</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6E0100D1">
      <w:pPr>
        <w:pStyle w:val="58"/>
        <w:ind w:firstLine="42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配备至少2台医用冰箱、温度自动监测及外接不间断供电等设备设施，并配备计算机、网络、扫码器等设备。</w:t>
      </w:r>
    </w:p>
    <w:p w14:paraId="378940F8">
      <w:pPr>
        <w:pStyle w:val="67"/>
        <w:spacing w:before="156" w:after="156"/>
        <w:ind w:left="0"/>
        <w:rPr>
          <w:rFonts w:ascii="Times New Roman"/>
          <w:color w:val="000000" w:themeColor="text1"/>
          <w14:textFill>
            <w14:solidFill>
              <w14:schemeClr w14:val="tx1"/>
            </w14:solidFill>
          </w14:textFill>
        </w:rPr>
      </w:pPr>
      <w:bookmarkStart w:id="434" w:name="_Toc127349401"/>
      <w:bookmarkStart w:id="435" w:name="_Toc164083638"/>
      <w:bookmarkStart w:id="436" w:name="_Toc164084633"/>
      <w:bookmarkStart w:id="437" w:name="_Toc164089108"/>
      <w:bookmarkStart w:id="438" w:name="_Toc164170420"/>
      <w:bookmarkStart w:id="439" w:name="_Toc164090238"/>
      <w:bookmarkStart w:id="440" w:name="_Toc164150084"/>
      <w:bookmarkStart w:id="441" w:name="_Toc166253778"/>
      <w:bookmarkStart w:id="442" w:name="_Toc164089840"/>
      <w:bookmarkStart w:id="443" w:name="_Toc164154420"/>
      <w:bookmarkStart w:id="444" w:name="_Toc164178131"/>
      <w:bookmarkStart w:id="445" w:name="_Toc164090128"/>
      <w:bookmarkStart w:id="446" w:name="_Toc166835551"/>
      <w:bookmarkStart w:id="447" w:name="_Toc164089694"/>
      <w:bookmarkStart w:id="448" w:name="_Toc166837381"/>
      <w:bookmarkStart w:id="449" w:name="_Toc166223101"/>
      <w:r>
        <w:rPr>
          <w:rFonts w:ascii="Times New Roman"/>
          <w:color w:val="000000" w:themeColor="text1"/>
          <w14:textFill>
            <w14:solidFill>
              <w14:schemeClr w14:val="tx1"/>
            </w14:solidFill>
          </w14:textFill>
        </w:rPr>
        <w:t>疑似预防接种异常反应处置室/区</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278E4B6D">
      <w:pPr>
        <w:pStyle w:val="58"/>
        <w:ind w:firstLine="42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配备体检台、器械橱、体温计、压舌板、</w:t>
      </w:r>
      <w:r>
        <w:rPr>
          <w:rFonts w:hint="eastAsia" w:ascii="Times New Roman"/>
          <w:color w:val="000000" w:themeColor="text1"/>
          <w14:textFill>
            <w14:solidFill>
              <w14:schemeClr w14:val="tx1"/>
            </w14:solidFill>
          </w14:textFill>
        </w:rPr>
        <w:t>儿童</w:t>
      </w:r>
      <w:r>
        <w:rPr>
          <w:rFonts w:ascii="Times New Roman"/>
          <w:color w:val="000000" w:themeColor="text1"/>
          <w14:textFill>
            <w14:solidFill>
              <w14:schemeClr w14:val="tx1"/>
            </w14:solidFill>
          </w14:textFill>
        </w:rPr>
        <w:t>血压计、听诊器、</w:t>
      </w:r>
      <w:r>
        <w:rPr>
          <w:rFonts w:hint="eastAsia" w:ascii="Times New Roman"/>
          <w:color w:val="000000" w:themeColor="text1"/>
          <w14:textFill>
            <w14:solidFill>
              <w14:schemeClr w14:val="tx1"/>
            </w14:solidFill>
          </w14:textFill>
        </w:rPr>
        <w:t>注射器、</w:t>
      </w:r>
      <w:r>
        <w:rPr>
          <w:rFonts w:ascii="Times New Roman"/>
          <w:color w:val="000000" w:themeColor="text1"/>
          <w14:textFill>
            <w14:solidFill>
              <w14:schemeClr w14:val="tx1"/>
            </w14:solidFill>
          </w14:textFill>
        </w:rPr>
        <w:t>消毒棉签、锐（利）器盒、1:1000肾上腺素、葡萄糖、生理盐水、地塞米松、抗过敏药和氧源等急救药械。</w:t>
      </w:r>
    </w:p>
    <w:p w14:paraId="18F06C91">
      <w:pPr>
        <w:pStyle w:val="107"/>
        <w:spacing w:before="156" w:after="156"/>
        <w:rPr>
          <w:rFonts w:ascii="Times New Roman"/>
          <w:color w:val="000000" w:themeColor="text1"/>
          <w14:textFill>
            <w14:solidFill>
              <w14:schemeClr w14:val="tx1"/>
            </w14:solidFill>
          </w14:textFill>
        </w:rPr>
      </w:pPr>
      <w:bookmarkStart w:id="450" w:name="_Toc164089695"/>
      <w:bookmarkStart w:id="451" w:name="_Toc164170421"/>
      <w:bookmarkStart w:id="452" w:name="_Toc164090239"/>
      <w:bookmarkStart w:id="453" w:name="_Toc164083623"/>
      <w:bookmarkStart w:id="454" w:name="_Toc127349412"/>
      <w:bookmarkStart w:id="455" w:name="_Toc164090129"/>
      <w:bookmarkStart w:id="456" w:name="_Toc127349387"/>
      <w:bookmarkStart w:id="457" w:name="_Toc163811060"/>
      <w:bookmarkStart w:id="458" w:name="_Toc164083557"/>
      <w:bookmarkStart w:id="459" w:name="_Toc164084634"/>
      <w:bookmarkStart w:id="460" w:name="_Toc164089109"/>
      <w:bookmarkStart w:id="461" w:name="_Toc164089841"/>
      <w:bookmarkStart w:id="462" w:name="_Toc164150085"/>
      <w:bookmarkStart w:id="463" w:name="_Toc164154421"/>
      <w:bookmarkStart w:id="464" w:name="_Toc166835552"/>
      <w:bookmarkStart w:id="465" w:name="_Toc168488965"/>
      <w:bookmarkStart w:id="466" w:name="_Toc166223102"/>
      <w:bookmarkStart w:id="467" w:name="_Toc166253779"/>
      <w:bookmarkStart w:id="468" w:name="_Toc166837382"/>
      <w:bookmarkStart w:id="469" w:name="_Toc164178132"/>
      <w:r>
        <w:rPr>
          <w:rFonts w:ascii="Times New Roman"/>
          <w:color w:val="000000" w:themeColor="text1"/>
          <w14:textFill>
            <w14:solidFill>
              <w14:schemeClr w14:val="tx1"/>
            </w14:solidFill>
          </w14:textFill>
        </w:rPr>
        <w:t>人员要求</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5A81B397">
      <w:pPr>
        <w:pStyle w:val="67"/>
        <w:spacing w:before="156" w:after="156"/>
        <w:ind w:left="0"/>
        <w:rPr>
          <w:rFonts w:ascii="Times New Roman"/>
          <w:color w:val="000000" w:themeColor="text1"/>
          <w14:textFill>
            <w14:solidFill>
              <w14:schemeClr w14:val="tx1"/>
            </w14:solidFill>
          </w14:textFill>
        </w:rPr>
      </w:pPr>
      <w:bookmarkStart w:id="470" w:name="_Toc164084635"/>
      <w:bookmarkStart w:id="471" w:name="_Toc127349388"/>
      <w:bookmarkStart w:id="472" w:name="_Toc164083624"/>
      <w:bookmarkStart w:id="473" w:name="_Toc164154422"/>
      <w:bookmarkStart w:id="474" w:name="_Toc164090130"/>
      <w:bookmarkStart w:id="475" w:name="_Toc164089842"/>
      <w:bookmarkStart w:id="476" w:name="_Toc164170422"/>
      <w:bookmarkStart w:id="477" w:name="_Toc164089696"/>
      <w:bookmarkStart w:id="478" w:name="_Toc164090240"/>
      <w:bookmarkStart w:id="479" w:name="_Toc166837383"/>
      <w:bookmarkStart w:id="480" w:name="_Toc164178133"/>
      <w:bookmarkStart w:id="481" w:name="_Toc164089110"/>
      <w:bookmarkStart w:id="482" w:name="_Toc166253780"/>
      <w:bookmarkStart w:id="483" w:name="_Toc166223103"/>
      <w:bookmarkStart w:id="484" w:name="_Toc166835553"/>
      <w:bookmarkStart w:id="485" w:name="_Toc164150086"/>
      <w:r>
        <w:rPr>
          <w:rFonts w:ascii="Times New Roman"/>
          <w:color w:val="000000" w:themeColor="text1"/>
          <w14:textFill>
            <w14:solidFill>
              <w14:schemeClr w14:val="tx1"/>
            </w14:solidFill>
          </w14:textFill>
        </w:rPr>
        <w:t>人员</w:t>
      </w:r>
      <w:bookmarkEnd w:id="470"/>
      <w:bookmarkEnd w:id="471"/>
      <w:bookmarkEnd w:id="472"/>
      <w:r>
        <w:rPr>
          <w:rFonts w:ascii="Times New Roman"/>
          <w:color w:val="000000" w:themeColor="text1"/>
          <w14:textFill>
            <w14:solidFill>
              <w14:schemeClr w14:val="tx1"/>
            </w14:solidFill>
          </w14:textFill>
        </w:rPr>
        <w:t>配置</w:t>
      </w:r>
      <w:bookmarkEnd w:id="473"/>
      <w:bookmarkEnd w:id="474"/>
      <w:bookmarkEnd w:id="475"/>
      <w:bookmarkEnd w:id="476"/>
      <w:bookmarkEnd w:id="477"/>
      <w:bookmarkEnd w:id="478"/>
      <w:bookmarkEnd w:id="479"/>
      <w:bookmarkEnd w:id="480"/>
      <w:bookmarkEnd w:id="481"/>
      <w:bookmarkEnd w:id="482"/>
      <w:bookmarkEnd w:id="483"/>
      <w:bookmarkEnd w:id="484"/>
      <w:bookmarkEnd w:id="485"/>
    </w:p>
    <w:p w14:paraId="3CD39B8C">
      <w:pPr>
        <w:pStyle w:val="58"/>
        <w:ind w:firstLine="42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每次门诊开诊时，至少配备6名预防接种工作人员，其中：至少1名健康询问/登记/知情告知人员，1名留观/疑似预防接种异常反应处置医师，1名全流程巡查责任人，每个开诊接种台各1名接种人员。从事疫苗管理和冷链监测的专（兼）职工作人员不能少于2名。</w:t>
      </w:r>
    </w:p>
    <w:p w14:paraId="1D030EB9">
      <w:pPr>
        <w:pStyle w:val="67"/>
        <w:spacing w:before="156" w:after="156"/>
        <w:ind w:left="0"/>
        <w:rPr>
          <w:rFonts w:ascii="Times New Roman"/>
          <w:color w:val="000000" w:themeColor="text1"/>
          <w14:textFill>
            <w14:solidFill>
              <w14:schemeClr w14:val="tx1"/>
            </w14:solidFill>
          </w14:textFill>
        </w:rPr>
      </w:pPr>
      <w:bookmarkStart w:id="486" w:name="_Toc164170423"/>
      <w:bookmarkStart w:id="487" w:name="_Toc164089697"/>
      <w:bookmarkStart w:id="488" w:name="_Toc164150087"/>
      <w:bookmarkStart w:id="489" w:name="_Toc164090131"/>
      <w:bookmarkStart w:id="490" w:name="_Toc164084636"/>
      <w:bookmarkStart w:id="491" w:name="_Toc164178134"/>
      <w:bookmarkStart w:id="492" w:name="_Toc164083625"/>
      <w:bookmarkStart w:id="493" w:name="_Toc164154423"/>
      <w:bookmarkStart w:id="494" w:name="_Toc166837384"/>
      <w:bookmarkStart w:id="495" w:name="_Toc166253781"/>
      <w:bookmarkStart w:id="496" w:name="_Toc166835554"/>
      <w:bookmarkStart w:id="497" w:name="_Toc164089843"/>
      <w:bookmarkStart w:id="498" w:name="_Toc164089111"/>
      <w:bookmarkStart w:id="499" w:name="_Toc164090241"/>
      <w:bookmarkStart w:id="500" w:name="_Toc127349389"/>
      <w:bookmarkStart w:id="501" w:name="_Toc166223104"/>
      <w:r>
        <w:rPr>
          <w:rFonts w:ascii="Times New Roman"/>
          <w:color w:val="000000" w:themeColor="text1"/>
          <w14:textFill>
            <w14:solidFill>
              <w14:schemeClr w14:val="tx1"/>
            </w14:solidFill>
          </w14:textFill>
        </w:rPr>
        <w:t>资格</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19587FEA">
      <w:pPr>
        <w:pStyle w:val="58"/>
        <w:ind w:firstLine="42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从事登记、知情告知、疫苗接种等工作人员应具备执业医师、执业助理医师、护士或者乡镇执业助理医师资格。从事健康询问、留观和疑似预防接种异常反应处置等工作人员应具备执业医师或执业助理医师资格。从事疫苗管理、冷链监测等工作人员应具备执业医（药）师、执业助理医（药）师、护（药）士资格。</w:t>
      </w:r>
    </w:p>
    <w:p w14:paraId="732FEA07">
      <w:pPr>
        <w:pStyle w:val="67"/>
        <w:spacing w:before="156" w:after="156"/>
        <w:ind w:left="0"/>
        <w:rPr>
          <w:rFonts w:ascii="Times New Roman"/>
          <w:color w:val="000000" w:themeColor="text1"/>
          <w14:textFill>
            <w14:solidFill>
              <w14:schemeClr w14:val="tx1"/>
            </w14:solidFill>
          </w14:textFill>
        </w:rPr>
      </w:pPr>
      <w:bookmarkStart w:id="502" w:name="_Toc164083626"/>
      <w:bookmarkStart w:id="503" w:name="_Toc164089844"/>
      <w:bookmarkStart w:id="504" w:name="_Toc164150088"/>
      <w:bookmarkStart w:id="505" w:name="_Toc164089112"/>
      <w:bookmarkStart w:id="506" w:name="_Toc164170424"/>
      <w:bookmarkStart w:id="507" w:name="_Toc164178135"/>
      <w:bookmarkStart w:id="508" w:name="_Toc166253782"/>
      <w:bookmarkStart w:id="509" w:name="_Toc166837385"/>
      <w:bookmarkStart w:id="510" w:name="_Toc164154424"/>
      <w:bookmarkStart w:id="511" w:name="_Toc164090242"/>
      <w:bookmarkStart w:id="512" w:name="_Toc164090132"/>
      <w:bookmarkStart w:id="513" w:name="_Toc127349390"/>
      <w:bookmarkStart w:id="514" w:name="_Toc164084637"/>
      <w:bookmarkStart w:id="515" w:name="_Toc164089698"/>
      <w:bookmarkStart w:id="516" w:name="_Toc166223105"/>
      <w:bookmarkStart w:id="517" w:name="_Toc166835555"/>
      <w:r>
        <w:rPr>
          <w:rFonts w:ascii="Times New Roman"/>
          <w:color w:val="000000" w:themeColor="text1"/>
          <w14:textFill>
            <w14:solidFill>
              <w14:schemeClr w14:val="tx1"/>
            </w14:solidFill>
          </w14:textFill>
        </w:rPr>
        <w:t>资质</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10320D53">
      <w:pPr>
        <w:pStyle w:val="58"/>
        <w:ind w:firstLine="42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从事健康询问、登记、知情告知、接种、留观、疑似预防接种异常反应处置等工作人员应经县级卫生健康主管部门组织的上岗前教育培训，考核合格并取得上岗证，从事卡介苗接种的工作人员应经卡介苗接种专业培训并取得卡介苗接种上岗证。预防接种工作人员和接种门诊负责人应接受县级卫生健康主管部门组织的每年不少于1次培训教育并考核合格。</w:t>
      </w:r>
    </w:p>
    <w:p w14:paraId="6B35E983">
      <w:pPr>
        <w:pStyle w:val="107"/>
        <w:spacing w:before="156" w:after="156"/>
        <w:rPr>
          <w:rFonts w:ascii="Times New Roman"/>
          <w:color w:val="000000" w:themeColor="text1"/>
          <w14:textFill>
            <w14:solidFill>
              <w14:schemeClr w14:val="tx1"/>
            </w14:solidFill>
          </w14:textFill>
        </w:rPr>
      </w:pPr>
      <w:bookmarkStart w:id="518" w:name="_Toc164178136"/>
      <w:bookmarkStart w:id="519" w:name="_Toc168488966"/>
      <w:bookmarkStart w:id="520" w:name="_Toc166253783"/>
      <w:bookmarkStart w:id="521" w:name="_Toc166837386"/>
      <w:bookmarkStart w:id="522" w:name="_Toc166835556"/>
      <w:bookmarkStart w:id="523" w:name="_Toc166223106"/>
      <w:r>
        <w:rPr>
          <w:rFonts w:ascii="Times New Roman"/>
          <w:color w:val="000000" w:themeColor="text1"/>
          <w14:textFill>
            <w14:solidFill>
              <w14:schemeClr w14:val="tx1"/>
            </w14:solidFill>
          </w14:textFill>
        </w:rPr>
        <w:t>信息系统管理要求</w:t>
      </w:r>
      <w:bookmarkEnd w:id="518"/>
      <w:bookmarkEnd w:id="519"/>
      <w:bookmarkEnd w:id="520"/>
      <w:bookmarkEnd w:id="521"/>
      <w:bookmarkEnd w:id="522"/>
      <w:bookmarkEnd w:id="523"/>
    </w:p>
    <w:p w14:paraId="0E4C47EB">
      <w:pPr>
        <w:pStyle w:val="58"/>
        <w:ind w:firstLine="42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安装并使用江苏省预防接种综合服务管理信息系统，用于建立电子预防接种档案、登记疫苗接种信息、监控冷链设备温度</w:t>
      </w:r>
      <w:r>
        <w:rPr>
          <w:rFonts w:hint="eastAsia" w:ascii="Times New Roman"/>
          <w:color w:val="000000" w:themeColor="text1"/>
          <w14:textFill>
            <w14:solidFill>
              <w14:schemeClr w14:val="tx1"/>
            </w14:solidFill>
          </w14:textFill>
        </w:rPr>
        <w:t>、</w:t>
      </w:r>
      <w:r>
        <w:rPr>
          <w:rFonts w:ascii="Times New Roman"/>
          <w:color w:val="000000" w:themeColor="text1"/>
          <w14:textFill>
            <w14:solidFill>
              <w14:schemeClr w14:val="tx1"/>
            </w14:solidFill>
          </w14:textFill>
        </w:rPr>
        <w:t>管理疫苗出入库信息以及电子化健康询问、</w:t>
      </w:r>
      <w:r>
        <w:rPr>
          <w:rFonts w:hint="eastAsia" w:ascii="Times New Roman"/>
          <w:color w:val="000000" w:themeColor="text1"/>
          <w14:textFill>
            <w14:solidFill>
              <w14:schemeClr w14:val="tx1"/>
            </w14:solidFill>
          </w14:textFill>
        </w:rPr>
        <w:t>登记、</w:t>
      </w:r>
      <w:r>
        <w:rPr>
          <w:rFonts w:ascii="Times New Roman"/>
          <w:color w:val="000000" w:themeColor="text1"/>
          <w14:textFill>
            <w14:solidFill>
              <w14:schemeClr w14:val="tx1"/>
            </w14:solidFill>
          </w14:textFill>
        </w:rPr>
        <w:t>知情告知、扫码接种、自助留观等。</w:t>
      </w:r>
    </w:p>
    <w:p w14:paraId="1F6FC9A1">
      <w:pPr>
        <w:pStyle w:val="107"/>
        <w:spacing w:before="156" w:after="156"/>
        <w:rPr>
          <w:rFonts w:ascii="Times New Roman"/>
          <w:color w:val="000000" w:themeColor="text1"/>
          <w14:textFill>
            <w14:solidFill>
              <w14:schemeClr w14:val="tx1"/>
            </w14:solidFill>
          </w14:textFill>
        </w:rPr>
      </w:pPr>
      <w:bookmarkStart w:id="524" w:name="_Toc166835557"/>
      <w:bookmarkStart w:id="525" w:name="_Toc164090244"/>
      <w:bookmarkStart w:id="526" w:name="_Toc166253784"/>
      <w:bookmarkStart w:id="527" w:name="_Toc164089846"/>
      <w:bookmarkStart w:id="528" w:name="_Toc164090134"/>
      <w:bookmarkStart w:id="529" w:name="_Toc164089114"/>
      <w:bookmarkStart w:id="530" w:name="_Toc164089700"/>
      <w:bookmarkStart w:id="531" w:name="_Toc164150090"/>
      <w:bookmarkStart w:id="532" w:name="_Toc164154426"/>
      <w:bookmarkStart w:id="533" w:name="_Toc164170426"/>
      <w:bookmarkStart w:id="534" w:name="_Toc164178137"/>
      <w:bookmarkStart w:id="535" w:name="_Toc166223107"/>
      <w:bookmarkStart w:id="536" w:name="_Toc166837387"/>
      <w:bookmarkStart w:id="537" w:name="_Toc168488967"/>
      <w:bookmarkStart w:id="538" w:name="_Toc164083561"/>
      <w:bookmarkStart w:id="539" w:name="_Toc164084639"/>
      <w:bookmarkStart w:id="540" w:name="_Toc127349403"/>
      <w:bookmarkStart w:id="541" w:name="_Toc127349416"/>
      <w:bookmarkStart w:id="542" w:name="_Toc163811064"/>
      <w:bookmarkStart w:id="543" w:name="_Toc164083640"/>
      <w:r>
        <w:rPr>
          <w:rFonts w:ascii="Times New Roman"/>
          <w:color w:val="000000" w:themeColor="text1"/>
          <w14:textFill>
            <w14:solidFill>
              <w14:schemeClr w14:val="tx1"/>
            </w14:solidFill>
          </w14:textFill>
        </w:rPr>
        <w:t>信息公示</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1E96F55D">
      <w:pPr>
        <w:pStyle w:val="67"/>
        <w:spacing w:before="156" w:after="156"/>
        <w:ind w:left="0"/>
        <w:rPr>
          <w:rFonts w:ascii="Times New Roman"/>
          <w:color w:val="000000" w:themeColor="text1"/>
          <w14:textFill>
            <w14:solidFill>
              <w14:schemeClr w14:val="tx1"/>
            </w14:solidFill>
          </w14:textFill>
        </w:rPr>
      </w:pPr>
      <w:bookmarkStart w:id="544" w:name="_Toc127349404"/>
      <w:bookmarkStart w:id="545" w:name="_Toc164084640"/>
      <w:bookmarkStart w:id="546" w:name="_Toc164089115"/>
      <w:bookmarkStart w:id="547" w:name="_Toc164083641"/>
      <w:bookmarkStart w:id="548" w:name="_Toc164150091"/>
      <w:bookmarkStart w:id="549" w:name="_Toc164089701"/>
      <w:bookmarkStart w:id="550" w:name="_Toc164090135"/>
      <w:bookmarkStart w:id="551" w:name="_Toc164090245"/>
      <w:bookmarkStart w:id="552" w:name="_Toc164089847"/>
      <w:bookmarkStart w:id="553" w:name="_Toc164170427"/>
      <w:bookmarkStart w:id="554" w:name="_Toc164178138"/>
      <w:bookmarkStart w:id="555" w:name="_Toc164154427"/>
      <w:bookmarkStart w:id="556" w:name="_Toc166223108"/>
      <w:bookmarkStart w:id="557" w:name="_Toc166253785"/>
      <w:bookmarkStart w:id="558" w:name="_Toc166837388"/>
      <w:bookmarkStart w:id="559" w:name="_Toc166835558"/>
      <w:r>
        <w:rPr>
          <w:rFonts w:ascii="Times New Roman"/>
          <w:color w:val="000000" w:themeColor="text1"/>
          <w14:textFill>
            <w14:solidFill>
              <w14:schemeClr w14:val="tx1"/>
            </w14:solidFill>
          </w14:textFill>
        </w:rPr>
        <w:t>整体情况</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204FBC64">
      <w:pPr>
        <w:pStyle w:val="58"/>
        <w:ind w:firstLine="42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接种门诊的资质、责任区域、服务人群、服务项目、服务时间、联系方式、咨询及投诉举报电话等。</w:t>
      </w:r>
    </w:p>
    <w:p w14:paraId="2DFB065F">
      <w:pPr>
        <w:pStyle w:val="67"/>
        <w:spacing w:before="156" w:after="156"/>
        <w:ind w:left="0"/>
        <w:rPr>
          <w:rFonts w:ascii="Times New Roman"/>
          <w:color w:val="000000" w:themeColor="text1"/>
          <w14:textFill>
            <w14:solidFill>
              <w14:schemeClr w14:val="tx1"/>
            </w14:solidFill>
          </w14:textFill>
        </w:rPr>
      </w:pPr>
      <w:bookmarkStart w:id="560" w:name="_Toc127349405"/>
      <w:bookmarkStart w:id="561" w:name="_Toc164083642"/>
      <w:bookmarkStart w:id="562" w:name="_Toc164084641"/>
      <w:bookmarkStart w:id="563" w:name="_Toc164089116"/>
      <w:bookmarkStart w:id="564" w:name="_Toc164090136"/>
      <w:bookmarkStart w:id="565" w:name="_Toc164150092"/>
      <w:bookmarkStart w:id="566" w:name="_Toc164154428"/>
      <w:bookmarkStart w:id="567" w:name="_Toc164089702"/>
      <w:bookmarkStart w:id="568" w:name="_Toc164089848"/>
      <w:bookmarkStart w:id="569" w:name="_Toc164090246"/>
      <w:bookmarkStart w:id="570" w:name="_Toc164170428"/>
      <w:bookmarkStart w:id="571" w:name="_Toc164178139"/>
      <w:bookmarkStart w:id="572" w:name="_Toc166223109"/>
      <w:bookmarkStart w:id="573" w:name="_Toc166253786"/>
      <w:bookmarkStart w:id="574" w:name="_Toc166837389"/>
      <w:bookmarkStart w:id="575" w:name="_Toc166835559"/>
      <w:r>
        <w:rPr>
          <w:rFonts w:ascii="Times New Roman"/>
          <w:color w:val="000000" w:themeColor="text1"/>
          <w14:textFill>
            <w14:solidFill>
              <w14:schemeClr w14:val="tx1"/>
            </w14:solidFill>
          </w14:textFill>
        </w:rPr>
        <w:t>工作人员情况</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12302D47">
      <w:pPr>
        <w:pStyle w:val="58"/>
        <w:ind w:firstLine="42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工作人员基本信息：照片、姓名、职责（或服务内容）。</w:t>
      </w:r>
    </w:p>
    <w:p w14:paraId="5D45AA33">
      <w:pPr>
        <w:pStyle w:val="67"/>
        <w:spacing w:before="156" w:after="156"/>
        <w:ind w:left="0"/>
        <w:rPr>
          <w:rFonts w:ascii="Times New Roman"/>
          <w:color w:val="000000" w:themeColor="text1"/>
          <w14:textFill>
            <w14:solidFill>
              <w14:schemeClr w14:val="tx1"/>
            </w14:solidFill>
          </w14:textFill>
        </w:rPr>
      </w:pPr>
      <w:bookmarkStart w:id="576" w:name="_Toc127349406"/>
      <w:bookmarkStart w:id="577" w:name="_Toc164083643"/>
      <w:bookmarkStart w:id="578" w:name="_Toc164084642"/>
      <w:bookmarkStart w:id="579" w:name="_Toc164089117"/>
      <w:bookmarkStart w:id="580" w:name="_Toc164090247"/>
      <w:bookmarkStart w:id="581" w:name="_Toc164090137"/>
      <w:bookmarkStart w:id="582" w:name="_Toc164089849"/>
      <w:bookmarkStart w:id="583" w:name="_Toc164089703"/>
      <w:bookmarkStart w:id="584" w:name="_Toc164150093"/>
      <w:bookmarkStart w:id="585" w:name="_Toc164170429"/>
      <w:bookmarkStart w:id="586" w:name="_Toc164178140"/>
      <w:bookmarkStart w:id="587" w:name="_Toc166223110"/>
      <w:bookmarkStart w:id="588" w:name="_Toc164154429"/>
      <w:bookmarkStart w:id="589" w:name="_Toc166253787"/>
      <w:bookmarkStart w:id="590" w:name="_Toc166835560"/>
      <w:bookmarkStart w:id="591" w:name="_Toc166837390"/>
      <w:r>
        <w:rPr>
          <w:rFonts w:ascii="Times New Roman"/>
          <w:color w:val="000000" w:themeColor="text1"/>
          <w14:textFill>
            <w14:solidFill>
              <w14:schemeClr w14:val="tx1"/>
            </w14:solidFill>
          </w14:textFill>
        </w:rPr>
        <w:t>工作流程</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549F4336">
      <w:pPr>
        <w:pStyle w:val="58"/>
        <w:ind w:firstLine="42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儿童预防接种门诊预防接种服务工作流程、疑似预防接种异常反应处置流程等。</w:t>
      </w:r>
    </w:p>
    <w:p w14:paraId="7CE262E7">
      <w:pPr>
        <w:pStyle w:val="67"/>
        <w:spacing w:before="156" w:after="156"/>
        <w:ind w:left="0"/>
        <w:rPr>
          <w:rFonts w:ascii="Times New Roman"/>
          <w:color w:val="000000" w:themeColor="text1"/>
          <w14:textFill>
            <w14:solidFill>
              <w14:schemeClr w14:val="tx1"/>
            </w14:solidFill>
          </w14:textFill>
        </w:rPr>
      </w:pPr>
      <w:bookmarkStart w:id="592" w:name="_Toc164178141"/>
      <w:bookmarkStart w:id="593" w:name="_Toc166223111"/>
      <w:bookmarkStart w:id="594" w:name="_Toc166253788"/>
      <w:bookmarkStart w:id="595" w:name="_Toc166835561"/>
      <w:bookmarkStart w:id="596" w:name="_Toc166837391"/>
      <w:bookmarkStart w:id="597" w:name="_Toc164084643"/>
      <w:bookmarkStart w:id="598" w:name="_Toc164083644"/>
      <w:bookmarkStart w:id="599" w:name="_Toc164089850"/>
      <w:bookmarkStart w:id="600" w:name="_Toc164089118"/>
      <w:bookmarkStart w:id="601" w:name="_Toc164090248"/>
      <w:bookmarkStart w:id="602" w:name="_Toc164150094"/>
      <w:bookmarkStart w:id="603" w:name="_Toc164154430"/>
      <w:bookmarkStart w:id="604" w:name="_Toc164170430"/>
      <w:bookmarkStart w:id="605" w:name="_Toc164089704"/>
      <w:bookmarkStart w:id="606" w:name="_Toc164090138"/>
      <w:r>
        <w:rPr>
          <w:rFonts w:ascii="Times New Roman"/>
          <w:color w:val="000000" w:themeColor="text1"/>
          <w14:textFill>
            <w14:solidFill>
              <w14:schemeClr w14:val="tx1"/>
            </w14:solidFill>
          </w14:textFill>
        </w:rPr>
        <w:t>疫苗信息</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13F93487">
      <w:pPr>
        <w:pStyle w:val="58"/>
        <w:ind w:firstLine="42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该门诊提供接种的疫苗、</w:t>
      </w:r>
      <w:r>
        <w:rPr>
          <w:rFonts w:hint="eastAsia" w:ascii="Times New Roman"/>
          <w:color w:val="000000" w:themeColor="text1"/>
          <w14:textFill>
            <w14:solidFill>
              <w14:schemeClr w14:val="tx1"/>
            </w14:solidFill>
          </w14:textFill>
        </w:rPr>
        <w:t>生产企业</w:t>
      </w:r>
      <w:r>
        <w:rPr>
          <w:rFonts w:ascii="Times New Roman"/>
          <w:color w:val="000000" w:themeColor="text1"/>
          <w14:textFill>
            <w14:solidFill>
              <w14:schemeClr w14:val="tx1"/>
            </w14:solidFill>
          </w14:textFill>
        </w:rPr>
        <w:t>、接种对象、免疫程序、接种方法、接种禁忌以及疫苗价格、接种服务收费等。</w:t>
      </w:r>
    </w:p>
    <w:p w14:paraId="5A60D537">
      <w:pPr>
        <w:pStyle w:val="67"/>
        <w:spacing w:before="156" w:after="156"/>
        <w:ind w:left="0"/>
        <w:rPr>
          <w:rFonts w:ascii="Times New Roman"/>
          <w:color w:val="000000" w:themeColor="text1"/>
          <w14:textFill>
            <w14:solidFill>
              <w14:schemeClr w14:val="tx1"/>
            </w14:solidFill>
          </w14:textFill>
        </w:rPr>
      </w:pPr>
      <w:bookmarkStart w:id="607" w:name="_Toc127349408"/>
      <w:bookmarkStart w:id="608" w:name="_Toc164084644"/>
      <w:bookmarkStart w:id="609" w:name="_Toc164089119"/>
      <w:bookmarkStart w:id="610" w:name="_Toc164083645"/>
      <w:bookmarkStart w:id="611" w:name="_Toc166835562"/>
      <w:bookmarkStart w:id="612" w:name="_Toc166837392"/>
      <w:bookmarkStart w:id="613" w:name="_Toc164154431"/>
      <w:bookmarkStart w:id="614" w:name="_Toc164089705"/>
      <w:bookmarkStart w:id="615" w:name="_Toc164090139"/>
      <w:bookmarkStart w:id="616" w:name="_Toc164170431"/>
      <w:bookmarkStart w:id="617" w:name="_Toc164150095"/>
      <w:bookmarkStart w:id="618" w:name="_Toc164089851"/>
      <w:bookmarkStart w:id="619" w:name="_Toc164178142"/>
      <w:bookmarkStart w:id="620" w:name="_Toc164090249"/>
      <w:bookmarkStart w:id="621" w:name="_Toc166223112"/>
      <w:bookmarkStart w:id="622" w:name="_Toc166253789"/>
      <w:r>
        <w:rPr>
          <w:rFonts w:ascii="Times New Roman"/>
          <w:color w:val="000000" w:themeColor="text1"/>
          <w14:textFill>
            <w14:solidFill>
              <w14:schemeClr w14:val="tx1"/>
            </w14:solidFill>
          </w14:textFill>
        </w:rPr>
        <w:t>其他内容</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4FE08555">
      <w:pPr>
        <w:pStyle w:val="58"/>
        <w:ind w:firstLine="42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国家免疫规划政策、法律法规和预防接种相关知识、工作制度、疑似预防接种异常反应补偿政策等。</w:t>
      </w:r>
    </w:p>
    <w:p w14:paraId="7367EC5C">
      <w:pPr>
        <w:pStyle w:val="106"/>
        <w:spacing w:before="312" w:after="312"/>
        <w:rPr>
          <w:rFonts w:ascii="Times New Roman"/>
          <w:color w:val="000000" w:themeColor="text1"/>
          <w14:textFill>
            <w14:solidFill>
              <w14:schemeClr w14:val="tx1"/>
            </w14:solidFill>
          </w14:textFill>
        </w:rPr>
      </w:pPr>
      <w:bookmarkStart w:id="623" w:name="_Toc163811065"/>
      <w:bookmarkStart w:id="624" w:name="_Toc164083562"/>
      <w:bookmarkStart w:id="625" w:name="_Toc164083646"/>
      <w:bookmarkStart w:id="626" w:name="_Toc164089120"/>
      <w:bookmarkStart w:id="627" w:name="_Toc164089706"/>
      <w:bookmarkStart w:id="628" w:name="_Toc164154432"/>
      <w:bookmarkStart w:id="629" w:name="_Toc164090250"/>
      <w:bookmarkStart w:id="630" w:name="_Toc164150096"/>
      <w:bookmarkStart w:id="631" w:name="_Toc164084645"/>
      <w:bookmarkStart w:id="632" w:name="_Toc164089852"/>
      <w:bookmarkStart w:id="633" w:name="_Toc164090140"/>
      <w:bookmarkStart w:id="634" w:name="_Toc164170432"/>
      <w:bookmarkStart w:id="635" w:name="_Toc164178143"/>
      <w:bookmarkStart w:id="636" w:name="_Toc166223113"/>
      <w:bookmarkStart w:id="637" w:name="_Toc166837393"/>
      <w:bookmarkStart w:id="638" w:name="_Toc166835563"/>
      <w:bookmarkStart w:id="639" w:name="_Toc168488991"/>
      <w:bookmarkStart w:id="640" w:name="_Toc168488968"/>
      <w:bookmarkStart w:id="641" w:name="_Toc168581123"/>
      <w:bookmarkStart w:id="642" w:name="_Toc166253790"/>
      <w:r>
        <w:rPr>
          <w:rFonts w:ascii="Times New Roman"/>
          <w:color w:val="000000" w:themeColor="text1"/>
          <w14:textFill>
            <w14:solidFill>
              <w14:schemeClr w14:val="tx1"/>
            </w14:solidFill>
          </w14:textFill>
        </w:rPr>
        <w:t>成人预防接种门诊</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74E3877F">
      <w:pPr>
        <w:pStyle w:val="107"/>
        <w:spacing w:before="156" w:after="156"/>
        <w:rPr>
          <w:rFonts w:ascii="Times New Roman"/>
          <w:color w:val="000000" w:themeColor="text1"/>
          <w14:textFill>
            <w14:solidFill>
              <w14:schemeClr w14:val="tx1"/>
            </w14:solidFill>
          </w14:textFill>
        </w:rPr>
      </w:pPr>
      <w:bookmarkStart w:id="643" w:name="_Toc163811067"/>
      <w:bookmarkStart w:id="644" w:name="_Toc164084646"/>
      <w:bookmarkStart w:id="645" w:name="_Toc164083564"/>
      <w:bookmarkStart w:id="646" w:name="_Toc164083651"/>
      <w:bookmarkStart w:id="647" w:name="_Toc164089707"/>
      <w:bookmarkStart w:id="648" w:name="_Toc164090251"/>
      <w:bookmarkStart w:id="649" w:name="_Toc164089853"/>
      <w:bookmarkStart w:id="650" w:name="_Toc164150097"/>
      <w:bookmarkStart w:id="651" w:name="_Toc164170433"/>
      <w:bookmarkStart w:id="652" w:name="_Toc164178144"/>
      <w:bookmarkStart w:id="653" w:name="_Toc166223114"/>
      <w:bookmarkStart w:id="654" w:name="_Toc164154433"/>
      <w:bookmarkStart w:id="655" w:name="_Toc164089121"/>
      <w:bookmarkStart w:id="656" w:name="_Toc164090141"/>
      <w:bookmarkStart w:id="657" w:name="_Toc166253791"/>
      <w:bookmarkStart w:id="658" w:name="_Toc166835564"/>
      <w:bookmarkStart w:id="659" w:name="_Toc166837394"/>
      <w:bookmarkStart w:id="660" w:name="_Toc168488969"/>
      <w:r>
        <w:rPr>
          <w:rFonts w:ascii="Times New Roman"/>
          <w:color w:val="000000" w:themeColor="text1"/>
          <w14:textFill>
            <w14:solidFill>
              <w14:schemeClr w14:val="tx1"/>
            </w14:solidFill>
          </w14:textFill>
        </w:rPr>
        <w:t>基础</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r>
        <w:rPr>
          <w:rFonts w:hint="eastAsia" w:ascii="Times New Roman"/>
          <w:color w:val="000000" w:themeColor="text1"/>
          <w14:textFill>
            <w14:solidFill>
              <w14:schemeClr w14:val="tx1"/>
            </w14:solidFill>
          </w14:textFill>
        </w:rPr>
        <w:t>配置</w:t>
      </w:r>
      <w:bookmarkEnd w:id="658"/>
      <w:bookmarkEnd w:id="659"/>
      <w:bookmarkEnd w:id="660"/>
    </w:p>
    <w:p w14:paraId="57D1F990">
      <w:pPr>
        <w:pStyle w:val="67"/>
        <w:spacing w:before="156" w:after="156"/>
        <w:ind w:left="0"/>
        <w:rPr>
          <w:rFonts w:ascii="Times New Roman"/>
          <w:color w:val="000000" w:themeColor="text1"/>
          <w14:textFill>
            <w14:solidFill>
              <w14:schemeClr w14:val="tx1"/>
            </w14:solidFill>
          </w14:textFill>
        </w:rPr>
      </w:pPr>
      <w:bookmarkStart w:id="661" w:name="_Toc164170434"/>
      <w:bookmarkStart w:id="662" w:name="_Toc164089854"/>
      <w:bookmarkStart w:id="663" w:name="_Toc164090252"/>
      <w:bookmarkStart w:id="664" w:name="_Toc166223115"/>
      <w:bookmarkStart w:id="665" w:name="_Toc166253792"/>
      <w:bookmarkStart w:id="666" w:name="_Toc166835565"/>
      <w:bookmarkStart w:id="667" w:name="_Toc164090142"/>
      <w:bookmarkStart w:id="668" w:name="_Toc164150098"/>
      <w:bookmarkStart w:id="669" w:name="_Toc164154434"/>
      <w:bookmarkStart w:id="670" w:name="_Toc164178145"/>
      <w:bookmarkStart w:id="671" w:name="_Toc166837395"/>
      <w:bookmarkStart w:id="672" w:name="_Toc164084647"/>
      <w:bookmarkStart w:id="673" w:name="_Toc164089122"/>
      <w:bookmarkStart w:id="674" w:name="_Toc164083652"/>
      <w:bookmarkStart w:id="675" w:name="_Toc164089708"/>
      <w:r>
        <w:rPr>
          <w:rFonts w:ascii="Times New Roman"/>
          <w:color w:val="000000" w:themeColor="text1"/>
          <w14:textFill>
            <w14:solidFill>
              <w14:schemeClr w14:val="tx1"/>
            </w14:solidFill>
          </w14:textFill>
        </w:rPr>
        <w:t>房屋配备</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2D5FEED8">
      <w:pPr>
        <w:pStyle w:val="58"/>
        <w:ind w:firstLine="420"/>
      </w:pPr>
      <w:r>
        <w:t>配置使用面积不少于</w:t>
      </w:r>
      <w:r>
        <w:rPr>
          <w:rFonts w:ascii="Times New Roman"/>
        </w:rPr>
        <w:t>30 m</w:t>
      </w:r>
      <w:r>
        <w:rPr>
          <w:rFonts w:ascii="Times New Roman"/>
          <w:vertAlign w:val="superscript"/>
        </w:rPr>
        <w:t>2</w:t>
      </w:r>
      <w:r>
        <w:rPr>
          <w:rFonts w:ascii="Times New Roman"/>
        </w:rPr>
        <w:t>的预防</w:t>
      </w:r>
      <w:r>
        <w:t>接种专用房，成人预防接种门诊应避免与普通门诊、发热门诊、肠道门诊、注射室、病房、放射科、传染病科、化验室等存在潜在感染和损害风险的科室共处同一楼层或共用出入口及通道。</w:t>
      </w:r>
    </w:p>
    <w:p w14:paraId="545A8CAA">
      <w:pPr>
        <w:pStyle w:val="67"/>
        <w:spacing w:before="156" w:after="156"/>
        <w:ind w:left="0"/>
        <w:rPr>
          <w:rFonts w:ascii="Times New Roman"/>
          <w:color w:val="000000" w:themeColor="text1"/>
          <w14:textFill>
            <w14:solidFill>
              <w14:schemeClr w14:val="tx1"/>
            </w14:solidFill>
          </w14:textFill>
        </w:rPr>
      </w:pPr>
      <w:bookmarkStart w:id="676" w:name="_Toc164083653"/>
      <w:bookmarkStart w:id="677" w:name="_Toc164089123"/>
      <w:bookmarkStart w:id="678" w:name="_Toc164084648"/>
      <w:bookmarkStart w:id="679" w:name="_Toc164150099"/>
      <w:bookmarkStart w:id="680" w:name="_Toc164089709"/>
      <w:bookmarkStart w:id="681" w:name="_Toc164090143"/>
      <w:bookmarkStart w:id="682" w:name="_Toc164090253"/>
      <w:bookmarkStart w:id="683" w:name="_Toc164154435"/>
      <w:bookmarkStart w:id="684" w:name="_Toc164089855"/>
      <w:bookmarkStart w:id="685" w:name="_Toc166223116"/>
      <w:bookmarkStart w:id="686" w:name="_Toc166837396"/>
      <w:bookmarkStart w:id="687" w:name="_Toc164170435"/>
      <w:bookmarkStart w:id="688" w:name="_Toc166253793"/>
      <w:bookmarkStart w:id="689" w:name="_Toc166835566"/>
      <w:bookmarkStart w:id="690" w:name="_Toc164178146"/>
      <w:r>
        <w:rPr>
          <w:rFonts w:ascii="Times New Roman"/>
          <w:color w:val="000000" w:themeColor="text1"/>
          <w14:textFill>
            <w14:solidFill>
              <w14:schemeClr w14:val="tx1"/>
            </w14:solidFill>
          </w14:textFill>
        </w:rPr>
        <w:t>功能分区和布局</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30D33871">
      <w:pPr>
        <w:pStyle w:val="58"/>
        <w:ind w:firstLine="420"/>
        <w:rPr>
          <w:rFonts w:eastAsia="黑体"/>
        </w:rPr>
      </w:pPr>
      <w:r>
        <w:t>设置候诊室/区、健康询问室/区、登记/知情告知室/区、接种室/区、留观室/区和冷链室/区等功能区。询问、登记/知情告知室/区可根据实际情况进行合并。按照候诊、询问、登记/知情告知、接种、留观的先后顺序合理布局。设置</w:t>
      </w:r>
      <w:r>
        <w:rPr>
          <w:rFonts w:hAnsi="宋体"/>
        </w:rPr>
        <w:t>在“儿童预防接种门诊”的“成人</w:t>
      </w:r>
      <w:r>
        <w:t>预防</w:t>
      </w:r>
      <w:r>
        <w:rPr>
          <w:rFonts w:hAnsi="宋体"/>
        </w:rPr>
        <w:t>接种门诊”，可根据实</w:t>
      </w:r>
      <w:r>
        <w:t>际情况进行功能区整合。如儿童接种和成人接种的开诊时间相同，应设置单独的成人接种台。如儿童接种和成人接种的开诊时间错开，可共用相关功能分区。</w:t>
      </w:r>
    </w:p>
    <w:p w14:paraId="322902FF">
      <w:pPr>
        <w:pStyle w:val="107"/>
        <w:spacing w:before="156" w:after="156"/>
        <w:rPr>
          <w:rFonts w:ascii="Times New Roman"/>
          <w:color w:val="000000" w:themeColor="text1"/>
          <w14:textFill>
            <w14:solidFill>
              <w14:schemeClr w14:val="tx1"/>
            </w14:solidFill>
          </w14:textFill>
        </w:rPr>
      </w:pPr>
      <w:bookmarkStart w:id="691" w:name="_Toc163811068"/>
      <w:bookmarkStart w:id="692" w:name="_Toc164083565"/>
      <w:bookmarkStart w:id="693" w:name="_Toc164083654"/>
      <w:bookmarkStart w:id="694" w:name="_Toc164170436"/>
      <w:bookmarkStart w:id="695" w:name="_Toc164178147"/>
      <w:bookmarkStart w:id="696" w:name="_Toc164089710"/>
      <w:bookmarkStart w:id="697" w:name="_Toc164089856"/>
      <w:bookmarkStart w:id="698" w:name="_Toc166223117"/>
      <w:bookmarkStart w:id="699" w:name="_Toc166253794"/>
      <w:bookmarkStart w:id="700" w:name="_Toc164089124"/>
      <w:bookmarkStart w:id="701" w:name="_Toc164154436"/>
      <w:bookmarkStart w:id="702" w:name="_Toc164084649"/>
      <w:bookmarkStart w:id="703" w:name="_Toc164090254"/>
      <w:bookmarkStart w:id="704" w:name="_Toc164150100"/>
      <w:bookmarkStart w:id="705" w:name="_Toc164090144"/>
      <w:bookmarkStart w:id="706" w:name="_Toc166837397"/>
      <w:bookmarkStart w:id="707" w:name="_Toc168488970"/>
      <w:bookmarkStart w:id="708" w:name="_Toc166835567"/>
      <w:r>
        <w:rPr>
          <w:rFonts w:ascii="Times New Roman"/>
          <w:color w:val="000000" w:themeColor="text1"/>
          <w14:textFill>
            <w14:solidFill>
              <w14:schemeClr w14:val="tx1"/>
            </w14:solidFill>
          </w14:textFill>
        </w:rPr>
        <w:t>设施和设备</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6A64B019">
      <w:pPr>
        <w:pStyle w:val="67"/>
        <w:spacing w:before="156" w:after="156"/>
        <w:ind w:left="0"/>
        <w:rPr>
          <w:rFonts w:ascii="Times New Roman"/>
          <w:color w:val="000000" w:themeColor="text1"/>
          <w14:textFill>
            <w14:solidFill>
              <w14:schemeClr w14:val="tx1"/>
            </w14:solidFill>
          </w14:textFill>
        </w:rPr>
      </w:pPr>
      <w:bookmarkStart w:id="709" w:name="_Toc164083655"/>
      <w:bookmarkStart w:id="710" w:name="_Toc164084650"/>
      <w:bookmarkStart w:id="711" w:name="_Toc164089125"/>
      <w:bookmarkStart w:id="712" w:name="_Toc164089711"/>
      <w:bookmarkStart w:id="713" w:name="_Toc164089857"/>
      <w:bookmarkStart w:id="714" w:name="_Toc164150101"/>
      <w:bookmarkStart w:id="715" w:name="_Toc164178148"/>
      <w:bookmarkStart w:id="716" w:name="_Toc164090145"/>
      <w:bookmarkStart w:id="717" w:name="_Toc164090255"/>
      <w:bookmarkStart w:id="718" w:name="_Toc164154437"/>
      <w:bookmarkStart w:id="719" w:name="_Toc166837398"/>
      <w:bookmarkStart w:id="720" w:name="_Toc166223118"/>
      <w:bookmarkStart w:id="721" w:name="_Toc166253795"/>
      <w:bookmarkStart w:id="722" w:name="_Toc166835568"/>
      <w:bookmarkStart w:id="723" w:name="_Toc164170437"/>
      <w:r>
        <w:rPr>
          <w:rFonts w:ascii="Times New Roman"/>
          <w:color w:val="000000" w:themeColor="text1"/>
          <w14:textFill>
            <w14:solidFill>
              <w14:schemeClr w14:val="tx1"/>
            </w14:solidFill>
          </w14:textFill>
        </w:rPr>
        <w:t>整体要求</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33C4A984">
      <w:pPr>
        <w:pStyle w:val="58"/>
        <w:ind w:firstLine="42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各功能室/区均应有明显的标识。配备空气消毒、降温防寒、视频监控等设备，并根据需要配备医疗废物垃圾桶与生活垃圾桶。</w:t>
      </w:r>
    </w:p>
    <w:p w14:paraId="1AA7FF27">
      <w:pPr>
        <w:pStyle w:val="67"/>
        <w:spacing w:before="156" w:after="156"/>
        <w:ind w:left="0"/>
        <w:rPr>
          <w:rFonts w:ascii="Times New Roman"/>
          <w:color w:val="000000" w:themeColor="text1"/>
          <w14:textFill>
            <w14:solidFill>
              <w14:schemeClr w14:val="tx1"/>
            </w14:solidFill>
          </w14:textFill>
        </w:rPr>
      </w:pPr>
      <w:bookmarkStart w:id="724" w:name="_Toc164089858"/>
      <w:bookmarkStart w:id="725" w:name="_Toc164090256"/>
      <w:bookmarkStart w:id="726" w:name="_Toc164170438"/>
      <w:bookmarkStart w:id="727" w:name="_Toc164154438"/>
      <w:bookmarkStart w:id="728" w:name="_Toc164090146"/>
      <w:bookmarkStart w:id="729" w:name="_Toc164150102"/>
      <w:bookmarkStart w:id="730" w:name="_Toc164178149"/>
      <w:bookmarkStart w:id="731" w:name="_Toc166223119"/>
      <w:bookmarkStart w:id="732" w:name="_Toc164089712"/>
      <w:bookmarkStart w:id="733" w:name="_Toc166253796"/>
      <w:bookmarkStart w:id="734" w:name="_Toc164083656"/>
      <w:bookmarkStart w:id="735" w:name="_Toc164089126"/>
      <w:bookmarkStart w:id="736" w:name="_Toc166835569"/>
      <w:bookmarkStart w:id="737" w:name="_Toc166837399"/>
      <w:bookmarkStart w:id="738" w:name="_Toc164084651"/>
      <w:r>
        <w:rPr>
          <w:rFonts w:ascii="Times New Roman"/>
          <w:color w:val="000000" w:themeColor="text1"/>
          <w14:textFill>
            <w14:solidFill>
              <w14:schemeClr w14:val="tx1"/>
            </w14:solidFill>
          </w14:textFill>
        </w:rPr>
        <w:t>候诊室/区</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39F4389C">
      <w:pPr>
        <w:widowControl/>
        <w:autoSpaceDE w:val="0"/>
        <w:autoSpaceDN w:val="0"/>
        <w:spacing w:line="240" w:lineRule="auto"/>
        <w:ind w:firstLine="420" w:firstLineChars="200"/>
        <w:rPr>
          <w:rFonts w:ascii="Times New Roman" w:hAnsi="Times New Roman"/>
          <w:color w:val="000000" w:themeColor="text1"/>
          <w:kern w:val="0"/>
          <w:szCs w:val="20"/>
          <w14:textFill>
            <w14:solidFill>
              <w14:schemeClr w14:val="tx1"/>
            </w14:solidFill>
          </w14:textFill>
        </w:rPr>
      </w:pPr>
      <w:r>
        <w:rPr>
          <w:rFonts w:ascii="Times New Roman" w:hAnsi="Times New Roman"/>
          <w:color w:val="000000" w:themeColor="text1"/>
          <w:kern w:val="0"/>
          <w:szCs w:val="20"/>
          <w14:textFill>
            <w14:solidFill>
              <w14:schemeClr w14:val="tx1"/>
            </w14:solidFill>
          </w14:textFill>
        </w:rPr>
        <w:t>配备座椅等设备，有条件的门诊可配置取号机、电子显示屏（显示候种者姓名、接种室/区或台号等）和健康教育等设备。</w:t>
      </w:r>
    </w:p>
    <w:p w14:paraId="692C9069">
      <w:pPr>
        <w:pStyle w:val="67"/>
        <w:spacing w:before="156" w:after="156"/>
        <w:ind w:left="0"/>
        <w:rPr>
          <w:rFonts w:ascii="Times New Roman"/>
          <w:color w:val="000000" w:themeColor="text1"/>
          <w14:textFill>
            <w14:solidFill>
              <w14:schemeClr w14:val="tx1"/>
            </w14:solidFill>
          </w14:textFill>
        </w:rPr>
      </w:pPr>
      <w:bookmarkStart w:id="739" w:name="_Toc164089127"/>
      <w:bookmarkStart w:id="740" w:name="_Toc164090147"/>
      <w:bookmarkStart w:id="741" w:name="_Toc164090257"/>
      <w:bookmarkStart w:id="742" w:name="_Toc164178150"/>
      <w:bookmarkStart w:id="743" w:name="_Toc166253797"/>
      <w:bookmarkStart w:id="744" w:name="_Toc164170439"/>
      <w:bookmarkStart w:id="745" w:name="_Toc164150103"/>
      <w:bookmarkStart w:id="746" w:name="_Toc164089859"/>
      <w:bookmarkStart w:id="747" w:name="_Toc166837400"/>
      <w:bookmarkStart w:id="748" w:name="_Toc166223120"/>
      <w:bookmarkStart w:id="749" w:name="_Toc164154439"/>
      <w:bookmarkStart w:id="750" w:name="_Toc166835570"/>
      <w:bookmarkStart w:id="751" w:name="_Toc164089713"/>
      <w:r>
        <w:rPr>
          <w:rFonts w:ascii="Times New Roman"/>
          <w:color w:val="000000" w:themeColor="text1"/>
          <w14:textFill>
            <w14:solidFill>
              <w14:schemeClr w14:val="tx1"/>
            </w14:solidFill>
          </w14:textFill>
        </w:rPr>
        <w:t>健康询问室/区</w:t>
      </w:r>
      <w:bookmarkEnd w:id="739"/>
      <w:bookmarkEnd w:id="740"/>
      <w:bookmarkEnd w:id="741"/>
      <w:bookmarkEnd w:id="742"/>
      <w:bookmarkEnd w:id="743"/>
      <w:bookmarkEnd w:id="744"/>
      <w:bookmarkEnd w:id="745"/>
      <w:bookmarkEnd w:id="746"/>
      <w:bookmarkEnd w:id="747"/>
      <w:bookmarkEnd w:id="748"/>
      <w:bookmarkEnd w:id="749"/>
      <w:bookmarkEnd w:id="750"/>
      <w:bookmarkEnd w:id="751"/>
    </w:p>
    <w:p w14:paraId="6DAD00E1">
      <w:pPr>
        <w:pStyle w:val="58"/>
        <w:ind w:firstLine="42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配备健康询问台、计算机、网络、打印机、电子核签仪、听诊器、血压计、体温计、压舌板等设备及器械。</w:t>
      </w:r>
    </w:p>
    <w:p w14:paraId="2107B7CB">
      <w:pPr>
        <w:pStyle w:val="67"/>
        <w:widowControl/>
        <w:autoSpaceDE w:val="0"/>
        <w:autoSpaceDN w:val="0"/>
        <w:spacing w:before="156" w:after="156"/>
        <w:ind w:left="0"/>
        <w:rPr>
          <w:rFonts w:ascii="Times New Roman"/>
          <w:color w:val="000000" w:themeColor="text1"/>
          <w14:textFill>
            <w14:solidFill>
              <w14:schemeClr w14:val="tx1"/>
            </w14:solidFill>
          </w14:textFill>
        </w:rPr>
      </w:pPr>
      <w:bookmarkStart w:id="752" w:name="_Toc164089128"/>
      <w:bookmarkStart w:id="753" w:name="_Toc164154440"/>
      <w:bookmarkStart w:id="754" w:name="_Toc164089714"/>
      <w:bookmarkStart w:id="755" w:name="_Toc164150104"/>
      <w:bookmarkStart w:id="756" w:name="_Toc164090148"/>
      <w:bookmarkStart w:id="757" w:name="_Toc164090258"/>
      <w:bookmarkStart w:id="758" w:name="_Toc164089860"/>
      <w:bookmarkStart w:id="759" w:name="_Toc164170440"/>
      <w:bookmarkStart w:id="760" w:name="_Toc166253798"/>
      <w:bookmarkStart w:id="761" w:name="_Toc164178151"/>
      <w:bookmarkStart w:id="762" w:name="_Toc166223121"/>
      <w:bookmarkStart w:id="763" w:name="_Toc166835571"/>
      <w:bookmarkStart w:id="764" w:name="_Toc166837401"/>
      <w:r>
        <w:rPr>
          <w:rFonts w:ascii="Times New Roman"/>
          <w:color w:val="000000" w:themeColor="text1"/>
          <w14:textFill>
            <w14:solidFill>
              <w14:schemeClr w14:val="tx1"/>
            </w14:solidFill>
          </w14:textFill>
        </w:rPr>
        <w:t>登记/知情告知室/区</w:t>
      </w:r>
      <w:bookmarkEnd w:id="752"/>
      <w:bookmarkEnd w:id="753"/>
      <w:bookmarkEnd w:id="754"/>
      <w:bookmarkEnd w:id="755"/>
      <w:bookmarkEnd w:id="756"/>
      <w:bookmarkEnd w:id="757"/>
      <w:bookmarkEnd w:id="758"/>
      <w:bookmarkEnd w:id="759"/>
      <w:bookmarkEnd w:id="760"/>
      <w:bookmarkEnd w:id="761"/>
      <w:bookmarkEnd w:id="762"/>
      <w:bookmarkEnd w:id="763"/>
      <w:bookmarkEnd w:id="764"/>
    </w:p>
    <w:p w14:paraId="4022AA8E">
      <w:pPr>
        <w:pStyle w:val="58"/>
        <w:ind w:firstLine="42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配备计算机、网络、身份证读卡器、打印机、电子核签仪、扫码器等设备。</w:t>
      </w:r>
    </w:p>
    <w:p w14:paraId="0CF5F230">
      <w:pPr>
        <w:pStyle w:val="67"/>
        <w:spacing w:before="156" w:after="156"/>
        <w:ind w:left="0"/>
        <w:rPr>
          <w:rFonts w:ascii="Times New Roman"/>
          <w:color w:val="000000" w:themeColor="text1"/>
          <w14:textFill>
            <w14:solidFill>
              <w14:schemeClr w14:val="tx1"/>
            </w14:solidFill>
          </w14:textFill>
        </w:rPr>
      </w:pPr>
      <w:bookmarkStart w:id="765" w:name="_Toc164083659"/>
      <w:bookmarkStart w:id="766" w:name="_Toc164084654"/>
      <w:bookmarkStart w:id="767" w:name="_Toc164089861"/>
      <w:bookmarkStart w:id="768" w:name="_Toc164089129"/>
      <w:bookmarkStart w:id="769" w:name="_Toc164090149"/>
      <w:bookmarkStart w:id="770" w:name="_Toc164089715"/>
      <w:bookmarkStart w:id="771" w:name="_Toc164090259"/>
      <w:bookmarkStart w:id="772" w:name="_Toc164154441"/>
      <w:bookmarkStart w:id="773" w:name="_Toc164170441"/>
      <w:bookmarkStart w:id="774" w:name="_Toc164150105"/>
      <w:bookmarkStart w:id="775" w:name="_Toc164178152"/>
      <w:bookmarkStart w:id="776" w:name="_Toc166223122"/>
      <w:bookmarkStart w:id="777" w:name="_Toc166253799"/>
      <w:bookmarkStart w:id="778" w:name="_Toc166835572"/>
      <w:bookmarkStart w:id="779" w:name="_Toc166837402"/>
      <w:r>
        <w:rPr>
          <w:rFonts w:ascii="Times New Roman"/>
          <w:color w:val="000000" w:themeColor="text1"/>
          <w14:textFill>
            <w14:solidFill>
              <w14:schemeClr w14:val="tx1"/>
            </w14:solidFill>
          </w14:textFill>
        </w:rPr>
        <w:t>接种室/区</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5258E4CB">
      <w:pPr>
        <w:widowControl/>
        <w:autoSpaceDE w:val="0"/>
        <w:autoSpaceDN w:val="0"/>
        <w:spacing w:line="240" w:lineRule="auto"/>
        <w:ind w:firstLine="420" w:firstLineChars="200"/>
        <w:rPr>
          <w:rFonts w:ascii="Times New Roman" w:hAnsi="Times New Roman"/>
          <w:color w:val="000000" w:themeColor="text1"/>
          <w:kern w:val="0"/>
          <w:szCs w:val="20"/>
          <w14:textFill>
            <w14:solidFill>
              <w14:schemeClr w14:val="tx1"/>
            </w14:solidFill>
          </w14:textFill>
        </w:rPr>
      </w:pPr>
      <w:r>
        <w:rPr>
          <w:rFonts w:ascii="Times New Roman" w:hAnsi="Times New Roman"/>
          <w:color w:val="000000" w:themeColor="text1"/>
          <w:kern w:val="0"/>
          <w:szCs w:val="20"/>
          <w14:textFill>
            <w14:solidFill>
              <w14:schemeClr w14:val="tx1"/>
            </w14:solidFill>
          </w14:textFill>
        </w:rPr>
        <w:t>每个接种台配备计算机、网络、接种凭证打印机、扫码器、台式冰箱、消毒棉签、75%乙醇、手卫生设施、锐（利）器盒、医疗废物桶、非医疗废物桶等。设有醒目的</w:t>
      </w:r>
      <w:r>
        <w:rPr>
          <w:rFonts w:ascii="宋体" w:hAnsi="宋体"/>
          <w:color w:val="000000" w:themeColor="text1"/>
          <w:kern w:val="0"/>
          <w:szCs w:val="20"/>
          <w14:textFill>
            <w14:solidFill>
              <w14:schemeClr w14:val="tx1"/>
            </w14:solidFill>
          </w14:textFill>
        </w:rPr>
        <w:t>疫苗名称标牌、“三查七对一验证”</w:t>
      </w:r>
      <w:r>
        <w:rPr>
          <w:rFonts w:ascii="Times New Roman" w:hAnsi="Times New Roman"/>
          <w:color w:val="000000" w:themeColor="text1"/>
          <w:kern w:val="0"/>
          <w:szCs w:val="20"/>
          <w14:textFill>
            <w14:solidFill>
              <w14:schemeClr w14:val="tx1"/>
            </w14:solidFill>
          </w14:textFill>
        </w:rPr>
        <w:t>提示牌。</w:t>
      </w:r>
    </w:p>
    <w:p w14:paraId="374E12EB">
      <w:pPr>
        <w:pStyle w:val="67"/>
        <w:spacing w:before="156" w:after="156"/>
        <w:ind w:left="0"/>
        <w:rPr>
          <w:rFonts w:ascii="Times New Roman"/>
          <w:color w:val="000000" w:themeColor="text1"/>
          <w14:textFill>
            <w14:solidFill>
              <w14:schemeClr w14:val="tx1"/>
            </w14:solidFill>
          </w14:textFill>
        </w:rPr>
      </w:pPr>
      <w:bookmarkStart w:id="780" w:name="_Toc164089130"/>
      <w:bookmarkStart w:id="781" w:name="_Toc164089716"/>
      <w:bookmarkStart w:id="782" w:name="_Toc164083660"/>
      <w:bookmarkStart w:id="783" w:name="_Toc164084655"/>
      <w:bookmarkStart w:id="784" w:name="_Toc164154442"/>
      <w:bookmarkStart w:id="785" w:name="_Toc164170442"/>
      <w:bookmarkStart w:id="786" w:name="_Toc164089862"/>
      <w:bookmarkStart w:id="787" w:name="_Toc164090260"/>
      <w:bookmarkStart w:id="788" w:name="_Toc164090150"/>
      <w:bookmarkStart w:id="789" w:name="_Toc164150106"/>
      <w:bookmarkStart w:id="790" w:name="_Toc166253800"/>
      <w:bookmarkStart w:id="791" w:name="_Toc166835573"/>
      <w:bookmarkStart w:id="792" w:name="_Toc166223123"/>
      <w:bookmarkStart w:id="793" w:name="_Toc164178153"/>
      <w:bookmarkStart w:id="794" w:name="_Toc166837403"/>
      <w:r>
        <w:rPr>
          <w:rFonts w:ascii="Times New Roman"/>
          <w:color w:val="000000" w:themeColor="text1"/>
          <w14:textFill>
            <w14:solidFill>
              <w14:schemeClr w14:val="tx1"/>
            </w14:solidFill>
          </w14:textFill>
        </w:rPr>
        <w:t>留观室/区</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49388CAC">
      <w:pPr>
        <w:pStyle w:val="58"/>
        <w:ind w:firstLine="42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配备座椅</w:t>
      </w:r>
      <w:r>
        <w:rPr>
          <w:rFonts w:hint="eastAsia" w:ascii="Times New Roman"/>
          <w:color w:val="000000" w:themeColor="text1"/>
          <w14:textFill>
            <w14:solidFill>
              <w14:schemeClr w14:val="tx1"/>
            </w14:solidFill>
          </w14:textFill>
        </w:rPr>
        <w:t>、</w:t>
      </w:r>
      <w:r>
        <w:rPr>
          <w:rFonts w:ascii="Times New Roman"/>
          <w:color w:val="000000" w:themeColor="text1"/>
          <w14:textFill>
            <w14:solidFill>
              <w14:schemeClr w14:val="tx1"/>
            </w14:solidFill>
          </w14:textFill>
        </w:rPr>
        <w:t>体检台、器械橱、体温计、压舌板、血压计、听诊器、</w:t>
      </w:r>
      <w:r>
        <w:rPr>
          <w:rFonts w:hint="eastAsia" w:ascii="Times New Roman"/>
          <w:color w:val="000000" w:themeColor="text1"/>
          <w14:textFill>
            <w14:solidFill>
              <w14:schemeClr w14:val="tx1"/>
            </w14:solidFill>
          </w14:textFill>
        </w:rPr>
        <w:t>注射器、</w:t>
      </w:r>
      <w:r>
        <w:rPr>
          <w:rFonts w:ascii="Times New Roman"/>
          <w:color w:val="000000" w:themeColor="text1"/>
          <w14:textFill>
            <w14:solidFill>
              <w14:schemeClr w14:val="tx1"/>
            </w14:solidFill>
          </w14:textFill>
        </w:rPr>
        <w:t>消毒棉签、锐（利）器盒、1:1000肾上腺素、葡萄糖、生理盐水、地塞米松、抗过敏药和氧源等急救药械。</w:t>
      </w:r>
    </w:p>
    <w:p w14:paraId="19799162">
      <w:pPr>
        <w:pStyle w:val="67"/>
        <w:spacing w:before="156" w:after="156"/>
        <w:ind w:left="0"/>
        <w:rPr>
          <w:rFonts w:ascii="Times New Roman"/>
          <w:color w:val="000000" w:themeColor="text1"/>
          <w14:textFill>
            <w14:solidFill>
              <w14:schemeClr w14:val="tx1"/>
            </w14:solidFill>
          </w14:textFill>
        </w:rPr>
      </w:pPr>
      <w:bookmarkStart w:id="795" w:name="_Toc164083661"/>
      <w:bookmarkStart w:id="796" w:name="_Toc164089131"/>
      <w:bookmarkStart w:id="797" w:name="_Toc164089717"/>
      <w:bookmarkStart w:id="798" w:name="_Toc164089863"/>
      <w:bookmarkStart w:id="799" w:name="_Toc164084656"/>
      <w:bookmarkStart w:id="800" w:name="_Toc164170443"/>
      <w:bookmarkStart w:id="801" w:name="_Toc164090261"/>
      <w:bookmarkStart w:id="802" w:name="_Toc164150107"/>
      <w:bookmarkStart w:id="803" w:name="_Toc164090151"/>
      <w:bookmarkStart w:id="804" w:name="_Toc164154443"/>
      <w:bookmarkStart w:id="805" w:name="_Toc166223124"/>
      <w:bookmarkStart w:id="806" w:name="_Toc166835574"/>
      <w:bookmarkStart w:id="807" w:name="_Toc166253801"/>
      <w:bookmarkStart w:id="808" w:name="_Toc166837404"/>
      <w:bookmarkStart w:id="809" w:name="_Toc164178154"/>
      <w:r>
        <w:rPr>
          <w:rFonts w:ascii="Times New Roman"/>
          <w:color w:val="000000" w:themeColor="text1"/>
          <w14:textFill>
            <w14:solidFill>
              <w14:schemeClr w14:val="tx1"/>
            </w14:solidFill>
          </w14:textFill>
        </w:rPr>
        <w:t>冷链室/区</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67CB097B">
      <w:pPr>
        <w:pStyle w:val="58"/>
        <w:ind w:firstLine="42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配备至少1台医用冰箱、温度自动监测及外接不间断供电等设备设施，并配备计算机、网络、扫码器等设备。</w:t>
      </w:r>
    </w:p>
    <w:p w14:paraId="7337AC51">
      <w:pPr>
        <w:pStyle w:val="107"/>
        <w:spacing w:before="156" w:after="156"/>
        <w:rPr>
          <w:rFonts w:ascii="Times New Roman"/>
          <w:color w:val="000000" w:themeColor="text1"/>
          <w14:textFill>
            <w14:solidFill>
              <w14:schemeClr w14:val="tx1"/>
            </w14:solidFill>
          </w14:textFill>
        </w:rPr>
      </w:pPr>
      <w:bookmarkStart w:id="810" w:name="_Toc164083647"/>
      <w:bookmarkStart w:id="811" w:name="_Toc163811066"/>
      <w:bookmarkStart w:id="812" w:name="_Toc164083563"/>
      <w:bookmarkStart w:id="813" w:name="_Toc164089132"/>
      <w:bookmarkStart w:id="814" w:name="_Toc164084657"/>
      <w:bookmarkStart w:id="815" w:name="_Toc164089718"/>
      <w:bookmarkStart w:id="816" w:name="_Toc164150108"/>
      <w:bookmarkStart w:id="817" w:name="_Toc164090262"/>
      <w:bookmarkStart w:id="818" w:name="_Toc164154444"/>
      <w:bookmarkStart w:id="819" w:name="_Toc164089864"/>
      <w:bookmarkStart w:id="820" w:name="_Toc164090152"/>
      <w:bookmarkStart w:id="821" w:name="_Toc164170444"/>
      <w:bookmarkStart w:id="822" w:name="_Toc164178155"/>
      <w:bookmarkStart w:id="823" w:name="_Toc166223125"/>
      <w:bookmarkStart w:id="824" w:name="_Toc166835575"/>
      <w:bookmarkStart w:id="825" w:name="_Toc166253802"/>
      <w:bookmarkStart w:id="826" w:name="_Toc168488971"/>
      <w:bookmarkStart w:id="827" w:name="_Toc166837405"/>
      <w:r>
        <w:rPr>
          <w:rFonts w:ascii="Times New Roman"/>
          <w:color w:val="000000" w:themeColor="text1"/>
          <w14:textFill>
            <w14:solidFill>
              <w14:schemeClr w14:val="tx1"/>
            </w14:solidFill>
          </w14:textFill>
        </w:rPr>
        <w:t>人员要求</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39DA8A33">
      <w:pPr>
        <w:pStyle w:val="67"/>
        <w:spacing w:before="156" w:after="156"/>
        <w:ind w:left="0"/>
        <w:rPr>
          <w:rFonts w:ascii="Times New Roman"/>
          <w:color w:val="000000" w:themeColor="text1"/>
          <w14:textFill>
            <w14:solidFill>
              <w14:schemeClr w14:val="tx1"/>
            </w14:solidFill>
          </w14:textFill>
        </w:rPr>
      </w:pPr>
      <w:bookmarkStart w:id="828" w:name="_Toc164083648"/>
      <w:bookmarkStart w:id="829" w:name="_Toc164089133"/>
      <w:bookmarkStart w:id="830" w:name="_Toc164084658"/>
      <w:bookmarkStart w:id="831" w:name="_Toc164089719"/>
      <w:bookmarkStart w:id="832" w:name="_Toc164089865"/>
      <w:bookmarkStart w:id="833" w:name="_Toc164090153"/>
      <w:bookmarkStart w:id="834" w:name="_Toc164090263"/>
      <w:bookmarkStart w:id="835" w:name="_Toc164150109"/>
      <w:bookmarkStart w:id="836" w:name="_Toc164178156"/>
      <w:bookmarkStart w:id="837" w:name="_Toc166223126"/>
      <w:bookmarkStart w:id="838" w:name="_Toc164154445"/>
      <w:bookmarkStart w:id="839" w:name="_Toc164170445"/>
      <w:bookmarkStart w:id="840" w:name="_Toc166837406"/>
      <w:bookmarkStart w:id="841" w:name="_Toc166253803"/>
      <w:bookmarkStart w:id="842" w:name="_Toc166835576"/>
      <w:r>
        <w:rPr>
          <w:rFonts w:ascii="Times New Roman"/>
          <w:color w:val="000000" w:themeColor="text1"/>
          <w14:textFill>
            <w14:solidFill>
              <w14:schemeClr w14:val="tx1"/>
            </w14:solidFill>
          </w14:textFill>
        </w:rPr>
        <w:t>人员配置</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0FF49A3A">
      <w:pPr>
        <w:pStyle w:val="58"/>
        <w:ind w:firstLine="420"/>
        <w:rPr>
          <w:rFonts w:ascii="Times New Roman" w:eastAsia="黑体"/>
        </w:rPr>
      </w:pPr>
      <w:r>
        <w:rPr>
          <w:rFonts w:ascii="Times New Roman"/>
        </w:rPr>
        <w:t>每次门诊开诊时，至少配备1名健康询问/登记/知情告知人员，1名留观/疑似预防接种异常反应处置医师，每个开诊接种台各1名接种人员。应有专（兼）职工作人员从事疫苗管理和冷链监测。</w:t>
      </w:r>
    </w:p>
    <w:p w14:paraId="35CD526D">
      <w:pPr>
        <w:pStyle w:val="67"/>
        <w:spacing w:before="156" w:after="156"/>
        <w:ind w:left="0"/>
        <w:rPr>
          <w:rFonts w:ascii="Times New Roman"/>
          <w:color w:val="000000" w:themeColor="text1"/>
          <w14:textFill>
            <w14:solidFill>
              <w14:schemeClr w14:val="tx1"/>
            </w14:solidFill>
          </w14:textFill>
        </w:rPr>
      </w:pPr>
      <w:bookmarkStart w:id="843" w:name="_Toc164083649"/>
      <w:bookmarkStart w:id="844" w:name="_Toc164090154"/>
      <w:bookmarkStart w:id="845" w:name="_Toc164089134"/>
      <w:bookmarkStart w:id="846" w:name="_Toc164084659"/>
      <w:bookmarkStart w:id="847" w:name="_Toc164089866"/>
      <w:bookmarkStart w:id="848" w:name="_Toc164089720"/>
      <w:bookmarkStart w:id="849" w:name="_Toc164154446"/>
      <w:bookmarkStart w:id="850" w:name="_Toc164150110"/>
      <w:bookmarkStart w:id="851" w:name="_Toc164090264"/>
      <w:bookmarkStart w:id="852" w:name="_Toc164170446"/>
      <w:bookmarkStart w:id="853" w:name="_Toc164178157"/>
      <w:bookmarkStart w:id="854" w:name="_Toc166223127"/>
      <w:bookmarkStart w:id="855" w:name="_Toc166253804"/>
      <w:bookmarkStart w:id="856" w:name="_Toc166835577"/>
      <w:bookmarkStart w:id="857" w:name="_Toc166837407"/>
      <w:r>
        <w:rPr>
          <w:rFonts w:ascii="Times New Roman"/>
          <w:color w:val="000000" w:themeColor="text1"/>
          <w14:textFill>
            <w14:solidFill>
              <w14:schemeClr w14:val="tx1"/>
            </w14:solidFill>
          </w14:textFill>
        </w:rPr>
        <w:t>资格</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14:paraId="20DFF1A5">
      <w:pPr>
        <w:pStyle w:val="58"/>
        <w:ind w:firstLine="420"/>
        <w:rPr>
          <w:rFonts w:ascii="Times New Roman"/>
        </w:rPr>
      </w:pPr>
      <w:r>
        <w:rPr>
          <w:rFonts w:ascii="Times New Roman"/>
        </w:rPr>
        <w:t>从事登记、知情告知、接种等工作人员应具有执业医师、执业助理医师、护士或者乡镇执业助理医师资格。从事健康询问、留观和疑似预防接种异常反应处置等工作人员应具备执业医师或执业助理医师资格。从事疫苗管理、冷链监测等工作人员应具有执业医（药）师、执业助理医（药）师、护（药）士等资格。</w:t>
      </w:r>
    </w:p>
    <w:p w14:paraId="4A461CCF">
      <w:pPr>
        <w:pStyle w:val="67"/>
        <w:spacing w:before="156" w:after="156"/>
        <w:ind w:left="0"/>
        <w:rPr>
          <w:rFonts w:ascii="Times New Roman"/>
          <w:color w:val="000000" w:themeColor="text1"/>
          <w14:textFill>
            <w14:solidFill>
              <w14:schemeClr w14:val="tx1"/>
            </w14:solidFill>
          </w14:textFill>
        </w:rPr>
      </w:pPr>
      <w:bookmarkStart w:id="858" w:name="_Toc164084660"/>
      <w:bookmarkStart w:id="859" w:name="_Toc164089721"/>
      <w:bookmarkStart w:id="860" w:name="_Toc164089867"/>
      <w:bookmarkStart w:id="861" w:name="_Toc164090155"/>
      <w:bookmarkStart w:id="862" w:name="_Toc164083650"/>
      <w:bookmarkStart w:id="863" w:name="_Toc164089135"/>
      <w:bookmarkStart w:id="864" w:name="_Toc164090265"/>
      <w:bookmarkStart w:id="865" w:name="_Toc164150111"/>
      <w:bookmarkStart w:id="866" w:name="_Toc164154447"/>
      <w:bookmarkStart w:id="867" w:name="_Toc164178158"/>
      <w:bookmarkStart w:id="868" w:name="_Toc166223128"/>
      <w:bookmarkStart w:id="869" w:name="_Toc166253805"/>
      <w:bookmarkStart w:id="870" w:name="_Toc164170447"/>
      <w:bookmarkStart w:id="871" w:name="_Toc166835578"/>
      <w:bookmarkStart w:id="872" w:name="_Toc166837408"/>
      <w:r>
        <w:rPr>
          <w:rFonts w:ascii="Times New Roman"/>
          <w:color w:val="000000" w:themeColor="text1"/>
          <w14:textFill>
            <w14:solidFill>
              <w14:schemeClr w14:val="tx1"/>
            </w14:solidFill>
          </w14:textFill>
        </w:rPr>
        <w:t>资质</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14:paraId="7ECC112E">
      <w:pPr>
        <w:pStyle w:val="58"/>
        <w:ind w:firstLine="42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从事健康询问、登记、知情告知、接种、留观、疑似预防接种异常反应处置等工作人员应经县级卫生健康主管部门组织的上岗前教育培训，考核合格并取得上岗证，预防接种工作人员和接种门诊负责人应接受县级卫生健康主管部门组织的每年不少于1次培训教育并考核合格。</w:t>
      </w:r>
    </w:p>
    <w:p w14:paraId="75BC05B2">
      <w:pPr>
        <w:pStyle w:val="107"/>
        <w:spacing w:before="156" w:after="156"/>
        <w:rPr>
          <w:rFonts w:ascii="Times New Roman"/>
          <w:color w:val="000000" w:themeColor="text1"/>
          <w14:textFill>
            <w14:solidFill>
              <w14:schemeClr w14:val="tx1"/>
            </w14:solidFill>
          </w14:textFill>
        </w:rPr>
      </w:pPr>
      <w:bookmarkStart w:id="873" w:name="_Toc168488972"/>
      <w:bookmarkStart w:id="874" w:name="_Toc166837409"/>
      <w:bookmarkStart w:id="875" w:name="_Toc164178159"/>
      <w:bookmarkStart w:id="876" w:name="_Toc166835579"/>
      <w:bookmarkStart w:id="877" w:name="_Toc166253806"/>
      <w:bookmarkStart w:id="878" w:name="_Toc166223129"/>
      <w:r>
        <w:rPr>
          <w:rFonts w:ascii="Times New Roman"/>
          <w:color w:val="000000" w:themeColor="text1"/>
          <w14:textFill>
            <w14:solidFill>
              <w14:schemeClr w14:val="tx1"/>
            </w14:solidFill>
          </w14:textFill>
        </w:rPr>
        <w:t>信息系统管理要求</w:t>
      </w:r>
      <w:bookmarkEnd w:id="873"/>
      <w:bookmarkEnd w:id="874"/>
      <w:bookmarkEnd w:id="875"/>
      <w:bookmarkEnd w:id="876"/>
      <w:bookmarkEnd w:id="877"/>
      <w:bookmarkEnd w:id="878"/>
    </w:p>
    <w:p w14:paraId="493384C2">
      <w:pPr>
        <w:widowControl/>
        <w:autoSpaceDE w:val="0"/>
        <w:autoSpaceDN w:val="0"/>
        <w:adjustRightInd/>
        <w:spacing w:line="240" w:lineRule="auto"/>
        <w:ind w:firstLine="420" w:firstLineChars="200"/>
        <w:rPr>
          <w:rFonts w:ascii="Times New Roman" w:hAnsi="Times New Roman"/>
          <w:color w:val="000000" w:themeColor="text1"/>
          <w:kern w:val="0"/>
          <w:szCs w:val="20"/>
          <w14:textFill>
            <w14:solidFill>
              <w14:schemeClr w14:val="tx1"/>
            </w14:solidFill>
          </w14:textFill>
        </w:rPr>
      </w:pPr>
      <w:r>
        <w:rPr>
          <w:rFonts w:ascii="Times New Roman" w:hAnsi="Times New Roman"/>
          <w:color w:val="000000" w:themeColor="text1"/>
          <w:kern w:val="0"/>
          <w:szCs w:val="20"/>
          <w14:textFill>
            <w14:solidFill>
              <w14:schemeClr w14:val="tx1"/>
            </w14:solidFill>
          </w14:textFill>
        </w:rPr>
        <w:t>安装并使用江苏省预防接种综合服务管理信息系统，用于建立电子预防接种档案、登记疫苗接种信息、监控冷链设备温度、管理疫苗出入库信息以及电子化健康询问、</w:t>
      </w:r>
      <w:r>
        <w:rPr>
          <w:rFonts w:hint="eastAsia" w:ascii="Times New Roman"/>
          <w:color w:val="000000" w:themeColor="text1"/>
          <w14:textFill>
            <w14:solidFill>
              <w14:schemeClr w14:val="tx1"/>
            </w14:solidFill>
          </w14:textFill>
        </w:rPr>
        <w:t>登记、</w:t>
      </w:r>
      <w:r>
        <w:rPr>
          <w:rFonts w:ascii="Times New Roman" w:hAnsi="Times New Roman"/>
          <w:color w:val="000000" w:themeColor="text1"/>
          <w:kern w:val="0"/>
          <w:szCs w:val="20"/>
          <w14:textFill>
            <w14:solidFill>
              <w14:schemeClr w14:val="tx1"/>
            </w14:solidFill>
          </w14:textFill>
        </w:rPr>
        <w:t>知情告知、扫码接种、自助留观等。</w:t>
      </w:r>
    </w:p>
    <w:p w14:paraId="5878F37F">
      <w:pPr>
        <w:pStyle w:val="107"/>
        <w:spacing w:before="156" w:after="156"/>
        <w:rPr>
          <w:rFonts w:ascii="Times New Roman"/>
          <w:color w:val="000000" w:themeColor="text1"/>
          <w14:textFill>
            <w14:solidFill>
              <w14:schemeClr w14:val="tx1"/>
            </w14:solidFill>
          </w14:textFill>
        </w:rPr>
      </w:pPr>
      <w:bookmarkStart w:id="879" w:name="_Toc164089723"/>
      <w:bookmarkStart w:id="880" w:name="_Toc164083567"/>
      <w:bookmarkStart w:id="881" w:name="_Toc164090157"/>
      <w:bookmarkStart w:id="882" w:name="_Toc164090267"/>
      <w:bookmarkStart w:id="883" w:name="_Toc164154449"/>
      <w:bookmarkStart w:id="884" w:name="_Toc164083663"/>
      <w:bookmarkStart w:id="885" w:name="_Toc164084662"/>
      <w:bookmarkStart w:id="886" w:name="_Toc164089137"/>
      <w:bookmarkStart w:id="887" w:name="_Toc164178160"/>
      <w:bookmarkStart w:id="888" w:name="_Toc164170449"/>
      <w:bookmarkStart w:id="889" w:name="_Toc164150113"/>
      <w:bookmarkStart w:id="890" w:name="_Toc164089869"/>
      <w:bookmarkStart w:id="891" w:name="_Toc166253807"/>
      <w:bookmarkStart w:id="892" w:name="_Toc166223130"/>
      <w:bookmarkStart w:id="893" w:name="_Toc166837410"/>
      <w:bookmarkStart w:id="894" w:name="_Toc166835580"/>
      <w:bookmarkStart w:id="895" w:name="_Toc168488973"/>
      <w:r>
        <w:rPr>
          <w:rFonts w:ascii="Times New Roman"/>
          <w:color w:val="000000" w:themeColor="text1"/>
          <w14:textFill>
            <w14:solidFill>
              <w14:schemeClr w14:val="tx1"/>
            </w14:solidFill>
          </w14:textFill>
        </w:rPr>
        <w:t>信息公示</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332233FE">
      <w:pPr>
        <w:pStyle w:val="67"/>
        <w:spacing w:before="156" w:after="156"/>
        <w:ind w:left="0"/>
        <w:rPr>
          <w:rFonts w:ascii="Times New Roman"/>
          <w:color w:val="000000" w:themeColor="text1"/>
          <w14:textFill>
            <w14:solidFill>
              <w14:schemeClr w14:val="tx1"/>
            </w14:solidFill>
          </w14:textFill>
        </w:rPr>
      </w:pPr>
      <w:bookmarkStart w:id="896" w:name="_Toc164084663"/>
      <w:bookmarkStart w:id="897" w:name="_Toc164083664"/>
      <w:bookmarkStart w:id="898" w:name="_Toc164089724"/>
      <w:bookmarkStart w:id="899" w:name="_Toc164170450"/>
      <w:bookmarkStart w:id="900" w:name="_Toc164089138"/>
      <w:bookmarkStart w:id="901" w:name="_Toc164089870"/>
      <w:bookmarkStart w:id="902" w:name="_Toc164090158"/>
      <w:bookmarkStart w:id="903" w:name="_Toc164090268"/>
      <w:bookmarkStart w:id="904" w:name="_Toc164154450"/>
      <w:bookmarkStart w:id="905" w:name="_Toc164178161"/>
      <w:bookmarkStart w:id="906" w:name="_Toc164150114"/>
      <w:bookmarkStart w:id="907" w:name="_Toc166223131"/>
      <w:bookmarkStart w:id="908" w:name="_Toc166253808"/>
      <w:bookmarkStart w:id="909" w:name="_Toc166835581"/>
      <w:bookmarkStart w:id="910" w:name="_Toc166837411"/>
      <w:r>
        <w:rPr>
          <w:rFonts w:ascii="Times New Roman"/>
          <w:color w:val="000000" w:themeColor="text1"/>
          <w14:textFill>
            <w14:solidFill>
              <w14:schemeClr w14:val="tx1"/>
            </w14:solidFill>
          </w14:textFill>
        </w:rPr>
        <w:t>整体情况</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14:paraId="42315D7B">
      <w:pPr>
        <w:widowControl/>
        <w:autoSpaceDE w:val="0"/>
        <w:autoSpaceDN w:val="0"/>
        <w:spacing w:line="240" w:lineRule="auto"/>
        <w:ind w:firstLine="420" w:firstLineChars="200"/>
        <w:rPr>
          <w:rFonts w:ascii="Times New Roman" w:hAnsi="Times New Roman"/>
          <w:color w:val="000000" w:themeColor="text1"/>
          <w:kern w:val="0"/>
          <w:szCs w:val="20"/>
          <w14:textFill>
            <w14:solidFill>
              <w14:schemeClr w14:val="tx1"/>
            </w14:solidFill>
          </w14:textFill>
        </w:rPr>
      </w:pPr>
      <w:r>
        <w:rPr>
          <w:rFonts w:ascii="Times New Roman" w:hAnsi="Times New Roman"/>
          <w:color w:val="000000" w:themeColor="text1"/>
          <w:kern w:val="0"/>
          <w:szCs w:val="20"/>
          <w14:textFill>
            <w14:solidFill>
              <w14:schemeClr w14:val="tx1"/>
            </w14:solidFill>
          </w14:textFill>
        </w:rPr>
        <w:t>接种</w:t>
      </w:r>
      <w:r>
        <w:rPr>
          <w:rFonts w:hint="eastAsia" w:ascii="Times New Roman" w:hAnsi="Times New Roman"/>
          <w:color w:val="000000" w:themeColor="text1"/>
          <w:kern w:val="0"/>
          <w:szCs w:val="20"/>
          <w14:textFill>
            <w14:solidFill>
              <w14:schemeClr w14:val="tx1"/>
            </w14:solidFill>
          </w14:textFill>
        </w:rPr>
        <w:t>门诊</w:t>
      </w:r>
      <w:r>
        <w:rPr>
          <w:rFonts w:ascii="Times New Roman" w:hAnsi="Times New Roman"/>
          <w:color w:val="000000" w:themeColor="text1"/>
          <w:kern w:val="0"/>
          <w:szCs w:val="20"/>
          <w14:textFill>
            <w14:solidFill>
              <w14:schemeClr w14:val="tx1"/>
            </w14:solidFill>
          </w14:textFill>
        </w:rPr>
        <w:t>的资质、服务人群、服务项目、服务时间、联系方式、咨询及投诉举报电话等。</w:t>
      </w:r>
    </w:p>
    <w:p w14:paraId="7ADC1916">
      <w:pPr>
        <w:pStyle w:val="67"/>
        <w:spacing w:before="156" w:after="156"/>
        <w:ind w:left="0"/>
        <w:rPr>
          <w:rFonts w:ascii="Times New Roman"/>
          <w:color w:val="000000" w:themeColor="text1"/>
          <w14:textFill>
            <w14:solidFill>
              <w14:schemeClr w14:val="tx1"/>
            </w14:solidFill>
          </w14:textFill>
        </w:rPr>
      </w:pPr>
      <w:bookmarkStart w:id="911" w:name="_Toc164083665"/>
      <w:bookmarkStart w:id="912" w:name="_Toc164089139"/>
      <w:bookmarkStart w:id="913" w:name="_Toc164089871"/>
      <w:bookmarkStart w:id="914" w:name="_Toc164089725"/>
      <w:bookmarkStart w:id="915" w:name="_Toc164090159"/>
      <w:bookmarkStart w:id="916" w:name="_Toc164090269"/>
      <w:bookmarkStart w:id="917" w:name="_Toc164084664"/>
      <w:bookmarkStart w:id="918" w:name="_Toc164150115"/>
      <w:bookmarkStart w:id="919" w:name="_Toc164154451"/>
      <w:bookmarkStart w:id="920" w:name="_Toc164170451"/>
      <w:bookmarkStart w:id="921" w:name="_Toc166253809"/>
      <w:bookmarkStart w:id="922" w:name="_Toc164178162"/>
      <w:bookmarkStart w:id="923" w:name="_Toc166835582"/>
      <w:bookmarkStart w:id="924" w:name="_Toc166837412"/>
      <w:bookmarkStart w:id="925" w:name="_Toc166223132"/>
      <w:r>
        <w:rPr>
          <w:rFonts w:ascii="Times New Roman"/>
          <w:color w:val="000000" w:themeColor="text1"/>
          <w14:textFill>
            <w14:solidFill>
              <w14:schemeClr w14:val="tx1"/>
            </w14:solidFill>
          </w14:textFill>
        </w:rPr>
        <w:t>工作人员情况</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68BB664A">
      <w:pPr>
        <w:widowControl/>
        <w:autoSpaceDE w:val="0"/>
        <w:autoSpaceDN w:val="0"/>
        <w:spacing w:line="240" w:lineRule="auto"/>
        <w:ind w:firstLine="420" w:firstLineChars="200"/>
        <w:rPr>
          <w:rFonts w:ascii="Times New Roman" w:hAnsi="Times New Roman"/>
          <w:color w:val="000000" w:themeColor="text1"/>
          <w:kern w:val="0"/>
          <w:szCs w:val="20"/>
          <w14:textFill>
            <w14:solidFill>
              <w14:schemeClr w14:val="tx1"/>
            </w14:solidFill>
          </w14:textFill>
        </w:rPr>
      </w:pPr>
      <w:r>
        <w:rPr>
          <w:rFonts w:ascii="Times New Roman" w:hAnsi="Times New Roman"/>
          <w:color w:val="000000" w:themeColor="text1"/>
          <w:kern w:val="0"/>
          <w:szCs w:val="20"/>
          <w14:textFill>
            <w14:solidFill>
              <w14:schemeClr w14:val="tx1"/>
            </w14:solidFill>
          </w14:textFill>
        </w:rPr>
        <w:t>工作人员基本信息：照片、姓名、职责（或服务内容）。</w:t>
      </w:r>
    </w:p>
    <w:p w14:paraId="7850041D">
      <w:pPr>
        <w:pStyle w:val="67"/>
        <w:spacing w:before="156" w:after="156"/>
        <w:ind w:left="0"/>
        <w:rPr>
          <w:rFonts w:ascii="Times New Roman"/>
          <w:color w:val="000000" w:themeColor="text1"/>
          <w14:textFill>
            <w14:solidFill>
              <w14:schemeClr w14:val="tx1"/>
            </w14:solidFill>
          </w14:textFill>
        </w:rPr>
      </w:pPr>
      <w:bookmarkStart w:id="926" w:name="_Toc164150116"/>
      <w:bookmarkStart w:id="927" w:name="_Toc166835583"/>
      <w:bookmarkStart w:id="928" w:name="_Toc164090270"/>
      <w:bookmarkStart w:id="929" w:name="_Toc166253810"/>
      <w:bookmarkStart w:id="930" w:name="_Toc164083666"/>
      <w:bookmarkStart w:id="931" w:name="_Toc164089872"/>
      <w:bookmarkStart w:id="932" w:name="_Toc164089140"/>
      <w:bookmarkStart w:id="933" w:name="_Toc164154452"/>
      <w:bookmarkStart w:id="934" w:name="_Toc164178163"/>
      <w:bookmarkStart w:id="935" w:name="_Toc164090160"/>
      <w:bookmarkStart w:id="936" w:name="_Toc166223133"/>
      <w:bookmarkStart w:id="937" w:name="_Toc164084665"/>
      <w:bookmarkStart w:id="938" w:name="_Toc164089726"/>
      <w:bookmarkStart w:id="939" w:name="_Toc164170452"/>
      <w:bookmarkStart w:id="940" w:name="_Toc166837413"/>
      <w:r>
        <w:rPr>
          <w:rFonts w:ascii="Times New Roman"/>
          <w:color w:val="000000" w:themeColor="text1"/>
          <w14:textFill>
            <w14:solidFill>
              <w14:schemeClr w14:val="tx1"/>
            </w14:solidFill>
          </w14:textFill>
        </w:rPr>
        <w:t>工作流程</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30BAC792">
      <w:pPr>
        <w:widowControl/>
        <w:autoSpaceDE w:val="0"/>
        <w:autoSpaceDN w:val="0"/>
        <w:spacing w:line="240" w:lineRule="auto"/>
        <w:ind w:firstLine="420" w:firstLineChars="200"/>
        <w:rPr>
          <w:rFonts w:ascii="Times New Roman" w:hAnsi="Times New Roman"/>
          <w:color w:val="000000" w:themeColor="text1"/>
          <w:kern w:val="0"/>
          <w:szCs w:val="20"/>
          <w14:textFill>
            <w14:solidFill>
              <w14:schemeClr w14:val="tx1"/>
            </w14:solidFill>
          </w14:textFill>
        </w:rPr>
      </w:pPr>
      <w:r>
        <w:rPr>
          <w:rFonts w:ascii="Times New Roman" w:hAnsi="Times New Roman"/>
          <w:color w:val="000000" w:themeColor="text1"/>
          <w:kern w:val="0"/>
          <w:szCs w:val="20"/>
          <w14:textFill>
            <w14:solidFill>
              <w14:schemeClr w14:val="tx1"/>
            </w14:solidFill>
          </w14:textFill>
        </w:rPr>
        <w:t>成人预防接种门诊预防接种服务工作流程、疑似预防接种异常反应处置流程等。</w:t>
      </w:r>
    </w:p>
    <w:p w14:paraId="0886E969">
      <w:pPr>
        <w:pStyle w:val="67"/>
        <w:spacing w:before="156" w:after="156"/>
        <w:ind w:left="0"/>
        <w:rPr>
          <w:rFonts w:ascii="Times New Roman"/>
          <w:color w:val="000000" w:themeColor="text1"/>
          <w14:textFill>
            <w14:solidFill>
              <w14:schemeClr w14:val="tx1"/>
            </w14:solidFill>
          </w14:textFill>
        </w:rPr>
      </w:pPr>
      <w:bookmarkStart w:id="941" w:name="_Toc164089141"/>
      <w:bookmarkStart w:id="942" w:name="_Toc164089873"/>
      <w:bookmarkStart w:id="943" w:name="_Toc164090161"/>
      <w:bookmarkStart w:id="944" w:name="_Toc164150117"/>
      <w:bookmarkStart w:id="945" w:name="_Toc164154453"/>
      <w:bookmarkStart w:id="946" w:name="_Toc164178164"/>
      <w:bookmarkStart w:id="947" w:name="_Toc164083667"/>
      <w:bookmarkStart w:id="948" w:name="_Toc164084666"/>
      <w:bookmarkStart w:id="949" w:name="_Toc164089727"/>
      <w:bookmarkStart w:id="950" w:name="_Toc164090271"/>
      <w:bookmarkStart w:id="951" w:name="_Toc164170453"/>
      <w:bookmarkStart w:id="952" w:name="_Toc166223134"/>
      <w:bookmarkStart w:id="953" w:name="_Toc166253811"/>
      <w:bookmarkStart w:id="954" w:name="_Toc166835584"/>
      <w:bookmarkStart w:id="955" w:name="_Toc166837414"/>
      <w:r>
        <w:rPr>
          <w:rFonts w:ascii="Times New Roman"/>
          <w:color w:val="000000" w:themeColor="text1"/>
          <w14:textFill>
            <w14:solidFill>
              <w14:schemeClr w14:val="tx1"/>
            </w14:solidFill>
          </w14:textFill>
        </w:rPr>
        <w:t>疫苗信息</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14:paraId="3AB50B8E">
      <w:pPr>
        <w:widowControl/>
        <w:autoSpaceDE w:val="0"/>
        <w:autoSpaceDN w:val="0"/>
        <w:spacing w:line="240" w:lineRule="auto"/>
        <w:ind w:firstLine="420" w:firstLineChars="200"/>
        <w:rPr>
          <w:rFonts w:ascii="Times New Roman" w:hAnsi="Times New Roman"/>
          <w:color w:val="000000" w:themeColor="text1"/>
          <w:kern w:val="0"/>
          <w:szCs w:val="20"/>
          <w14:textFill>
            <w14:solidFill>
              <w14:schemeClr w14:val="tx1"/>
            </w14:solidFill>
          </w14:textFill>
        </w:rPr>
      </w:pPr>
      <w:r>
        <w:rPr>
          <w:rFonts w:ascii="Times New Roman" w:hAnsi="Times New Roman"/>
          <w:color w:val="000000" w:themeColor="text1"/>
          <w14:textFill>
            <w14:solidFill>
              <w14:schemeClr w14:val="tx1"/>
            </w14:solidFill>
          </w14:textFill>
        </w:rPr>
        <w:t>该门诊提供接种的疫苗、</w:t>
      </w:r>
      <w:r>
        <w:rPr>
          <w:rFonts w:hint="eastAsia" w:ascii="Times New Roman" w:hAnsi="Times New Roman"/>
          <w:color w:val="000000" w:themeColor="text1"/>
          <w14:textFill>
            <w14:solidFill>
              <w14:schemeClr w14:val="tx1"/>
            </w14:solidFill>
          </w14:textFill>
        </w:rPr>
        <w:t>生产企业</w:t>
      </w:r>
      <w:r>
        <w:rPr>
          <w:rFonts w:ascii="Times New Roman" w:hAnsi="Times New Roman"/>
          <w:color w:val="000000" w:themeColor="text1"/>
          <w14:textFill>
            <w14:solidFill>
              <w14:schemeClr w14:val="tx1"/>
            </w14:solidFill>
          </w14:textFill>
        </w:rPr>
        <w:t>、接种对象、免疫程序、接种方法、接种禁忌以及疫苗价格、接种服务收费等</w:t>
      </w:r>
      <w:r>
        <w:rPr>
          <w:rFonts w:ascii="Times New Roman" w:hAnsi="Times New Roman"/>
          <w:color w:val="000000" w:themeColor="text1"/>
          <w:kern w:val="0"/>
          <w:szCs w:val="20"/>
          <w14:textFill>
            <w14:solidFill>
              <w14:schemeClr w14:val="tx1"/>
            </w14:solidFill>
          </w14:textFill>
        </w:rPr>
        <w:t>。</w:t>
      </w:r>
    </w:p>
    <w:p w14:paraId="4E891915">
      <w:pPr>
        <w:pStyle w:val="67"/>
        <w:spacing w:before="156" w:after="156"/>
        <w:ind w:left="0"/>
        <w:rPr>
          <w:rFonts w:ascii="Times New Roman"/>
          <w:color w:val="000000" w:themeColor="text1"/>
          <w14:textFill>
            <w14:solidFill>
              <w14:schemeClr w14:val="tx1"/>
            </w14:solidFill>
          </w14:textFill>
        </w:rPr>
      </w:pPr>
      <w:bookmarkStart w:id="956" w:name="_Toc164083668"/>
      <w:bookmarkStart w:id="957" w:name="_Toc164089728"/>
      <w:bookmarkStart w:id="958" w:name="_Toc166837415"/>
      <w:bookmarkStart w:id="959" w:name="_Toc166253812"/>
      <w:bookmarkStart w:id="960" w:name="_Toc164084667"/>
      <w:bookmarkStart w:id="961" w:name="_Toc164089874"/>
      <w:bookmarkStart w:id="962" w:name="_Toc164150118"/>
      <w:bookmarkStart w:id="963" w:name="_Toc164090162"/>
      <w:bookmarkStart w:id="964" w:name="_Toc164170454"/>
      <w:bookmarkStart w:id="965" w:name="_Toc164178165"/>
      <w:bookmarkStart w:id="966" w:name="_Toc164090272"/>
      <w:bookmarkStart w:id="967" w:name="_Toc166223135"/>
      <w:bookmarkStart w:id="968" w:name="_Toc166835585"/>
      <w:bookmarkStart w:id="969" w:name="_Toc164154454"/>
      <w:bookmarkStart w:id="970" w:name="_Toc164089142"/>
      <w:r>
        <w:rPr>
          <w:rFonts w:ascii="Times New Roman"/>
          <w:color w:val="000000" w:themeColor="text1"/>
          <w14:textFill>
            <w14:solidFill>
              <w14:schemeClr w14:val="tx1"/>
            </w14:solidFill>
          </w14:textFill>
        </w:rPr>
        <w:t>其他内容</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7C9413F1">
      <w:pPr>
        <w:pStyle w:val="58"/>
        <w:ind w:firstLine="42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预防接种法律法规和相关知识、工作制度、疑似预防接种异常反应补偿政策等。</w:t>
      </w:r>
    </w:p>
    <w:p w14:paraId="57CDF22B">
      <w:pPr>
        <w:pStyle w:val="106"/>
        <w:spacing w:before="312" w:after="312"/>
        <w:rPr>
          <w:rFonts w:ascii="Times New Roman"/>
          <w:color w:val="000000" w:themeColor="text1"/>
          <w14:textFill>
            <w14:solidFill>
              <w14:schemeClr w14:val="tx1"/>
            </w14:solidFill>
          </w14:textFill>
        </w:rPr>
      </w:pPr>
      <w:bookmarkStart w:id="971" w:name="_Toc163811071"/>
      <w:bookmarkStart w:id="972" w:name="_Toc164083568"/>
      <w:bookmarkStart w:id="973" w:name="_Toc164084668"/>
      <w:bookmarkStart w:id="974" w:name="_Toc164083669"/>
      <w:bookmarkStart w:id="975" w:name="_Toc164089143"/>
      <w:bookmarkStart w:id="976" w:name="_Toc164089729"/>
      <w:bookmarkStart w:id="977" w:name="_Toc164089875"/>
      <w:bookmarkStart w:id="978" w:name="_Toc164090163"/>
      <w:bookmarkStart w:id="979" w:name="_Toc164090273"/>
      <w:bookmarkStart w:id="980" w:name="_Toc164150119"/>
      <w:bookmarkStart w:id="981" w:name="_Toc164154455"/>
      <w:bookmarkStart w:id="982" w:name="_Toc164170455"/>
      <w:bookmarkStart w:id="983" w:name="_Toc164178166"/>
      <w:bookmarkStart w:id="984" w:name="_Toc166223136"/>
      <w:bookmarkStart w:id="985" w:name="_Toc166253813"/>
      <w:bookmarkStart w:id="986" w:name="_Toc168488992"/>
      <w:bookmarkStart w:id="987" w:name="_Toc168488974"/>
      <w:bookmarkStart w:id="988" w:name="_Toc168581124"/>
      <w:bookmarkStart w:id="989" w:name="_Toc166835586"/>
      <w:bookmarkStart w:id="990" w:name="_Toc166837416"/>
      <w:r>
        <w:rPr>
          <w:rFonts w:ascii="Times New Roman"/>
          <w:color w:val="000000" w:themeColor="text1"/>
          <w14:textFill>
            <w14:solidFill>
              <w14:schemeClr w14:val="tx1"/>
            </w14:solidFill>
          </w14:textFill>
        </w:rPr>
        <w:t>产科预防接种室</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12D051F0">
      <w:pPr>
        <w:pStyle w:val="107"/>
        <w:spacing w:before="156" w:after="156"/>
        <w:rPr>
          <w:rFonts w:ascii="Times New Roman"/>
          <w:color w:val="000000" w:themeColor="text1"/>
          <w14:textFill>
            <w14:solidFill>
              <w14:schemeClr w14:val="tx1"/>
            </w14:solidFill>
          </w14:textFill>
        </w:rPr>
      </w:pPr>
      <w:bookmarkStart w:id="991" w:name="_Toc168488975"/>
      <w:bookmarkStart w:id="992" w:name="_Toc164150120"/>
      <w:bookmarkStart w:id="993" w:name="_Toc164154456"/>
      <w:bookmarkStart w:id="994" w:name="_Toc164170456"/>
      <w:bookmarkStart w:id="995" w:name="_Toc164178167"/>
      <w:bookmarkStart w:id="996" w:name="_Toc166223137"/>
      <w:bookmarkStart w:id="997" w:name="_Toc166835587"/>
      <w:bookmarkStart w:id="998" w:name="_Toc166837417"/>
      <w:bookmarkStart w:id="999" w:name="_Toc166253814"/>
      <w:r>
        <w:rPr>
          <w:rFonts w:ascii="Times New Roman"/>
          <w:color w:val="000000" w:themeColor="text1"/>
          <w14:textFill>
            <w14:solidFill>
              <w14:schemeClr w14:val="tx1"/>
            </w14:solidFill>
          </w14:textFill>
        </w:rPr>
        <w:t>基础配置</w:t>
      </w:r>
      <w:bookmarkEnd w:id="991"/>
      <w:bookmarkEnd w:id="992"/>
      <w:bookmarkEnd w:id="993"/>
      <w:bookmarkEnd w:id="994"/>
      <w:bookmarkEnd w:id="995"/>
      <w:bookmarkEnd w:id="996"/>
      <w:bookmarkEnd w:id="997"/>
      <w:bookmarkEnd w:id="998"/>
      <w:bookmarkEnd w:id="999"/>
    </w:p>
    <w:p w14:paraId="5CE41065">
      <w:pPr>
        <w:pStyle w:val="58"/>
        <w:ind w:firstLine="42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设置健康询问/登记/知情告知区、接种区和冷链区等功能区域，接种区与冷链区可同室设置，使用面积不少于15 m</w:t>
      </w:r>
      <w:r>
        <w:rPr>
          <w:rFonts w:ascii="Times New Roman"/>
          <w:color w:val="000000" w:themeColor="text1"/>
          <w:vertAlign w:val="superscript"/>
          <w14:textFill>
            <w14:solidFill>
              <w14:schemeClr w14:val="tx1"/>
            </w14:solidFill>
          </w14:textFill>
        </w:rPr>
        <w:t>2</w:t>
      </w:r>
      <w:r>
        <w:rPr>
          <w:rFonts w:ascii="Times New Roman"/>
          <w:color w:val="000000" w:themeColor="text1"/>
          <w14:textFill>
            <w14:solidFill>
              <w14:schemeClr w14:val="tx1"/>
            </w14:solidFill>
          </w14:textFill>
        </w:rPr>
        <w:t>。可依托护士站、移动工作站等开展询问诊。</w:t>
      </w:r>
    </w:p>
    <w:p w14:paraId="3455D2FA">
      <w:pPr>
        <w:pStyle w:val="107"/>
        <w:spacing w:before="156" w:after="156"/>
        <w:rPr>
          <w:rFonts w:ascii="Times New Roman"/>
          <w:color w:val="000000" w:themeColor="text1"/>
          <w14:textFill>
            <w14:solidFill>
              <w14:schemeClr w14:val="tx1"/>
            </w14:solidFill>
          </w14:textFill>
        </w:rPr>
      </w:pPr>
      <w:bookmarkStart w:id="1000" w:name="_Toc166835588"/>
      <w:bookmarkStart w:id="1001" w:name="_Toc166837418"/>
      <w:bookmarkStart w:id="1002" w:name="_Toc166253815"/>
      <w:bookmarkStart w:id="1003" w:name="_Toc168488976"/>
      <w:bookmarkStart w:id="1004" w:name="_Toc164178170"/>
      <w:bookmarkStart w:id="1005" w:name="_Toc164089876"/>
      <w:bookmarkStart w:id="1006" w:name="_Toc166223138"/>
      <w:bookmarkStart w:id="1007" w:name="_Toc164150123"/>
      <w:bookmarkStart w:id="1008" w:name="_Toc164084669"/>
      <w:bookmarkStart w:id="1009" w:name="_Toc164090274"/>
      <w:bookmarkStart w:id="1010" w:name="_Toc164089144"/>
      <w:bookmarkStart w:id="1011" w:name="_Toc164083570"/>
      <w:bookmarkStart w:id="1012" w:name="_Toc164083673"/>
      <w:bookmarkStart w:id="1013" w:name="_Toc163811073"/>
      <w:bookmarkStart w:id="1014" w:name="_Toc164089730"/>
      <w:bookmarkStart w:id="1015" w:name="_Toc164154459"/>
      <w:bookmarkStart w:id="1016" w:name="_Toc164170459"/>
      <w:bookmarkStart w:id="1017" w:name="_Toc164090164"/>
      <w:r>
        <w:rPr>
          <w:rFonts w:ascii="Times New Roman"/>
          <w:color w:val="000000" w:themeColor="text1"/>
          <w14:textFill>
            <w14:solidFill>
              <w14:schemeClr w14:val="tx1"/>
            </w14:solidFill>
          </w14:textFill>
        </w:rPr>
        <w:t>设施和设备</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5B8B83F4">
      <w:pPr>
        <w:pStyle w:val="67"/>
        <w:spacing w:before="156" w:after="156"/>
        <w:ind w:left="0"/>
        <w:rPr>
          <w:rFonts w:ascii="Times New Roman"/>
          <w:color w:val="000000" w:themeColor="text1"/>
          <w14:textFill>
            <w14:solidFill>
              <w14:schemeClr w14:val="tx1"/>
            </w14:solidFill>
          </w14:textFill>
        </w:rPr>
      </w:pPr>
      <w:bookmarkStart w:id="1018" w:name="_Toc164084670"/>
      <w:bookmarkStart w:id="1019" w:name="_Toc164083674"/>
      <w:bookmarkStart w:id="1020" w:name="_Toc164089145"/>
      <w:bookmarkStart w:id="1021" w:name="_Toc166253816"/>
      <w:bookmarkStart w:id="1022" w:name="_Toc164089877"/>
      <w:bookmarkStart w:id="1023" w:name="_Toc164090275"/>
      <w:bookmarkStart w:id="1024" w:name="_Toc164150124"/>
      <w:bookmarkStart w:id="1025" w:name="_Toc166223139"/>
      <w:bookmarkStart w:id="1026" w:name="_Toc166835589"/>
      <w:bookmarkStart w:id="1027" w:name="_Toc164178171"/>
      <w:bookmarkStart w:id="1028" w:name="_Toc164170460"/>
      <w:bookmarkStart w:id="1029" w:name="_Toc164090165"/>
      <w:bookmarkStart w:id="1030" w:name="_Toc166837419"/>
      <w:bookmarkStart w:id="1031" w:name="_Toc164089731"/>
      <w:bookmarkStart w:id="1032" w:name="_Toc164154460"/>
      <w:r>
        <w:rPr>
          <w:rFonts w:ascii="Times New Roman"/>
          <w:color w:val="000000" w:themeColor="text1"/>
          <w14:textFill>
            <w14:solidFill>
              <w14:schemeClr w14:val="tx1"/>
            </w14:solidFill>
          </w14:textFill>
        </w:rPr>
        <w:t>整体要求</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12521E41">
      <w:pPr>
        <w:widowControl/>
        <w:autoSpaceDE w:val="0"/>
        <w:autoSpaceDN w:val="0"/>
        <w:spacing w:line="240" w:lineRule="auto"/>
        <w:ind w:firstLine="420" w:firstLineChars="200"/>
        <w:rPr>
          <w:rFonts w:ascii="Times New Roman" w:hAnsi="Times New Roman"/>
          <w:color w:val="000000" w:themeColor="text1"/>
          <w:kern w:val="0"/>
          <w:szCs w:val="20"/>
          <w14:textFill>
            <w14:solidFill>
              <w14:schemeClr w14:val="tx1"/>
            </w14:solidFill>
          </w14:textFill>
        </w:rPr>
      </w:pPr>
      <w:r>
        <w:rPr>
          <w:rFonts w:ascii="Times New Roman" w:hAnsi="Times New Roman"/>
          <w:color w:val="000000" w:themeColor="text1"/>
          <w:kern w:val="0"/>
          <w:szCs w:val="20"/>
          <w14:textFill>
            <w14:solidFill>
              <w14:schemeClr w14:val="tx1"/>
            </w14:solidFill>
          </w14:textFill>
        </w:rPr>
        <w:t>配备空气消毒、降温防寒、视频监控等设备。</w:t>
      </w:r>
    </w:p>
    <w:p w14:paraId="735F6BB1">
      <w:pPr>
        <w:pStyle w:val="67"/>
        <w:spacing w:before="156" w:after="156"/>
        <w:ind w:left="0"/>
        <w:rPr>
          <w:rFonts w:ascii="Times New Roman"/>
          <w:color w:val="000000" w:themeColor="text1"/>
          <w14:textFill>
            <w14:solidFill>
              <w14:schemeClr w14:val="tx1"/>
            </w14:solidFill>
          </w14:textFill>
        </w:rPr>
      </w:pPr>
      <w:bookmarkStart w:id="1033" w:name="_Toc164090166"/>
      <w:bookmarkStart w:id="1034" w:name="_Toc164084671"/>
      <w:bookmarkStart w:id="1035" w:name="_Toc164089146"/>
      <w:bookmarkStart w:id="1036" w:name="_Toc164089732"/>
      <w:bookmarkStart w:id="1037" w:name="_Toc164083675"/>
      <w:bookmarkStart w:id="1038" w:name="_Toc164089878"/>
      <w:bookmarkStart w:id="1039" w:name="_Toc164150125"/>
      <w:bookmarkStart w:id="1040" w:name="_Toc164170461"/>
      <w:bookmarkStart w:id="1041" w:name="_Toc164154461"/>
      <w:bookmarkStart w:id="1042" w:name="_Toc164178172"/>
      <w:bookmarkStart w:id="1043" w:name="_Toc164090276"/>
      <w:bookmarkStart w:id="1044" w:name="_Toc166223140"/>
      <w:bookmarkStart w:id="1045" w:name="_Toc166837420"/>
      <w:bookmarkStart w:id="1046" w:name="_Toc166253817"/>
      <w:bookmarkStart w:id="1047" w:name="_Toc166835590"/>
      <w:r>
        <w:rPr>
          <w:rFonts w:ascii="Times New Roman"/>
          <w:color w:val="000000" w:themeColor="text1"/>
          <w14:textFill>
            <w14:solidFill>
              <w14:schemeClr w14:val="tx1"/>
            </w14:solidFill>
          </w14:textFill>
        </w:rPr>
        <w:t>健康询问/登记/知情告知区</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2EB35B77">
      <w:pPr>
        <w:pStyle w:val="58"/>
        <w:ind w:firstLine="42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配备健康询问登记台、计算机、网络、电子核签仪等设备。</w:t>
      </w:r>
    </w:p>
    <w:p w14:paraId="31C8A8F1">
      <w:pPr>
        <w:pStyle w:val="67"/>
        <w:spacing w:before="156" w:after="156"/>
        <w:ind w:left="0"/>
        <w:rPr>
          <w:rFonts w:ascii="Times New Roman"/>
          <w:color w:val="000000" w:themeColor="text1"/>
          <w14:textFill>
            <w14:solidFill>
              <w14:schemeClr w14:val="tx1"/>
            </w14:solidFill>
          </w14:textFill>
        </w:rPr>
      </w:pPr>
      <w:bookmarkStart w:id="1048" w:name="_Toc164083676"/>
      <w:bookmarkStart w:id="1049" w:name="_Toc164089733"/>
      <w:bookmarkStart w:id="1050" w:name="_Toc164084672"/>
      <w:bookmarkStart w:id="1051" w:name="_Toc164089147"/>
      <w:bookmarkStart w:id="1052" w:name="_Toc164089879"/>
      <w:bookmarkStart w:id="1053" w:name="_Toc164090167"/>
      <w:bookmarkStart w:id="1054" w:name="_Toc164090277"/>
      <w:bookmarkStart w:id="1055" w:name="_Toc164150126"/>
      <w:bookmarkStart w:id="1056" w:name="_Toc166253818"/>
      <w:bookmarkStart w:id="1057" w:name="_Toc166835591"/>
      <w:bookmarkStart w:id="1058" w:name="_Toc166837421"/>
      <w:bookmarkStart w:id="1059" w:name="_Toc164178173"/>
      <w:bookmarkStart w:id="1060" w:name="_Toc164170462"/>
      <w:bookmarkStart w:id="1061" w:name="_Toc166223141"/>
      <w:bookmarkStart w:id="1062" w:name="_Toc164154462"/>
      <w:r>
        <w:rPr>
          <w:rFonts w:ascii="Times New Roman"/>
          <w:color w:val="000000" w:themeColor="text1"/>
          <w14:textFill>
            <w14:solidFill>
              <w14:schemeClr w14:val="tx1"/>
            </w14:solidFill>
          </w14:textFill>
        </w:rPr>
        <w:t>接种区</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7A05EEAD">
      <w:pPr>
        <w:pStyle w:val="58"/>
        <w:ind w:firstLine="42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设置相对独立接种单元，内设接种台，配备计算机、网络、扫码器、接种证打印机、台式冰箱、医用棉签、75%乙醇、手卫生设施、锐（利）器盒、医疗废物桶、非医疗废物桶等。配备体检台、器械橱、体温计、压舌板、</w:t>
      </w:r>
      <w:r>
        <w:rPr>
          <w:rFonts w:hint="eastAsia" w:ascii="Times New Roman"/>
          <w:color w:val="000000" w:themeColor="text1"/>
          <w14:textFill>
            <w14:solidFill>
              <w14:schemeClr w14:val="tx1"/>
            </w14:solidFill>
          </w14:textFill>
        </w:rPr>
        <w:t>儿童</w:t>
      </w:r>
      <w:r>
        <w:rPr>
          <w:rFonts w:ascii="Times New Roman"/>
          <w:color w:val="000000" w:themeColor="text1"/>
          <w14:textFill>
            <w14:solidFill>
              <w14:schemeClr w14:val="tx1"/>
            </w14:solidFill>
          </w14:textFill>
        </w:rPr>
        <w:t>血压计、听诊器、</w:t>
      </w:r>
      <w:r>
        <w:rPr>
          <w:rFonts w:hint="eastAsia" w:ascii="Times New Roman"/>
          <w:color w:val="000000" w:themeColor="text1"/>
          <w14:textFill>
            <w14:solidFill>
              <w14:schemeClr w14:val="tx1"/>
            </w14:solidFill>
          </w14:textFill>
        </w:rPr>
        <w:t>注射器、</w:t>
      </w:r>
      <w:r>
        <w:rPr>
          <w:rFonts w:ascii="Times New Roman"/>
          <w:color w:val="000000" w:themeColor="text1"/>
          <w14:textFill>
            <w14:solidFill>
              <w14:schemeClr w14:val="tx1"/>
            </w14:solidFill>
          </w14:textFill>
        </w:rPr>
        <w:t>消毒棉签、锐（利）器盒、1:1000肾上腺素、葡萄糖、生理盐水、地塞米松、抗过敏药和氧源等急救药械。接种台有醒目的疫苗名称标</w:t>
      </w:r>
      <w:r>
        <w:rPr>
          <w:rFonts w:hAnsi="宋体"/>
          <w:color w:val="000000" w:themeColor="text1"/>
          <w14:textFill>
            <w14:solidFill>
              <w14:schemeClr w14:val="tx1"/>
            </w14:solidFill>
          </w14:textFill>
        </w:rPr>
        <w:t>牌、“三查七对一验证”</w:t>
      </w:r>
      <w:r>
        <w:rPr>
          <w:rFonts w:ascii="Times New Roman"/>
          <w:color w:val="000000" w:themeColor="text1"/>
          <w14:textFill>
            <w14:solidFill>
              <w14:schemeClr w14:val="tx1"/>
            </w14:solidFill>
          </w14:textFill>
        </w:rPr>
        <w:t>提示牌。</w:t>
      </w:r>
    </w:p>
    <w:p w14:paraId="50A26DD7">
      <w:pPr>
        <w:pStyle w:val="67"/>
        <w:spacing w:before="156" w:after="156"/>
        <w:ind w:left="0"/>
        <w:rPr>
          <w:rFonts w:ascii="Times New Roman"/>
          <w:color w:val="000000" w:themeColor="text1"/>
          <w14:textFill>
            <w14:solidFill>
              <w14:schemeClr w14:val="tx1"/>
            </w14:solidFill>
          </w14:textFill>
        </w:rPr>
      </w:pPr>
      <w:bookmarkStart w:id="1063" w:name="_Toc164083677"/>
      <w:bookmarkStart w:id="1064" w:name="_Toc164089148"/>
      <w:bookmarkStart w:id="1065" w:name="_Toc164089734"/>
      <w:bookmarkStart w:id="1066" w:name="_Toc164089880"/>
      <w:bookmarkStart w:id="1067" w:name="_Toc164090168"/>
      <w:bookmarkStart w:id="1068" w:name="_Toc164084673"/>
      <w:bookmarkStart w:id="1069" w:name="_Toc164090278"/>
      <w:bookmarkStart w:id="1070" w:name="_Toc164178174"/>
      <w:bookmarkStart w:id="1071" w:name="_Toc164150127"/>
      <w:bookmarkStart w:id="1072" w:name="_Toc164170463"/>
      <w:bookmarkStart w:id="1073" w:name="_Toc166223142"/>
      <w:bookmarkStart w:id="1074" w:name="_Toc164154463"/>
      <w:bookmarkStart w:id="1075" w:name="_Toc166835592"/>
      <w:bookmarkStart w:id="1076" w:name="_Toc166837422"/>
      <w:bookmarkStart w:id="1077" w:name="_Toc166253819"/>
      <w:r>
        <w:rPr>
          <w:rFonts w:ascii="Times New Roman"/>
          <w:color w:val="000000" w:themeColor="text1"/>
          <w14:textFill>
            <w14:solidFill>
              <w14:schemeClr w14:val="tx1"/>
            </w14:solidFill>
          </w14:textFill>
        </w:rPr>
        <w:t>冷链区</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025CA8DA">
      <w:pPr>
        <w:pStyle w:val="58"/>
        <w:ind w:firstLine="42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配备至少1台医用冰箱、温度自动监测及外接不间断供电等设备设施，并配备计算机、网络、扫码器等设备。</w:t>
      </w:r>
    </w:p>
    <w:p w14:paraId="37C65B35">
      <w:pPr>
        <w:pStyle w:val="107"/>
        <w:spacing w:before="156" w:after="156"/>
        <w:rPr>
          <w:rFonts w:ascii="Times New Roman"/>
          <w:color w:val="000000" w:themeColor="text1"/>
          <w14:textFill>
            <w14:solidFill>
              <w14:schemeClr w14:val="tx1"/>
            </w14:solidFill>
          </w14:textFill>
        </w:rPr>
      </w:pPr>
      <w:bookmarkStart w:id="1078" w:name="_Toc164084674"/>
      <w:bookmarkStart w:id="1079" w:name="_Toc164089149"/>
      <w:bookmarkStart w:id="1080" w:name="_Toc164090169"/>
      <w:bookmarkStart w:id="1081" w:name="_Toc164089735"/>
      <w:bookmarkStart w:id="1082" w:name="_Toc164150128"/>
      <w:bookmarkStart w:id="1083" w:name="_Toc164090279"/>
      <w:bookmarkStart w:id="1084" w:name="_Toc164089881"/>
      <w:bookmarkStart w:id="1085" w:name="_Toc166223143"/>
      <w:bookmarkStart w:id="1086" w:name="_Toc164178175"/>
      <w:bookmarkStart w:id="1087" w:name="_Toc164154464"/>
      <w:bookmarkStart w:id="1088" w:name="_Toc164170464"/>
      <w:bookmarkStart w:id="1089" w:name="_Toc166837423"/>
      <w:bookmarkStart w:id="1090" w:name="_Toc166835593"/>
      <w:bookmarkStart w:id="1091" w:name="_Toc166253820"/>
      <w:bookmarkStart w:id="1092" w:name="_Toc163811072"/>
      <w:bookmarkStart w:id="1093" w:name="_Toc164083569"/>
      <w:bookmarkStart w:id="1094" w:name="_Toc164083670"/>
      <w:bookmarkStart w:id="1095" w:name="_Toc168488977"/>
      <w:r>
        <w:rPr>
          <w:rFonts w:ascii="Times New Roman"/>
          <w:color w:val="000000" w:themeColor="text1"/>
          <w14:textFill>
            <w14:solidFill>
              <w14:schemeClr w14:val="tx1"/>
            </w14:solidFill>
          </w14:textFill>
        </w:rPr>
        <w:t>人员要求</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4FA5D9F2">
      <w:pPr>
        <w:pStyle w:val="67"/>
        <w:spacing w:before="156" w:after="156"/>
        <w:ind w:left="0"/>
        <w:rPr>
          <w:rFonts w:ascii="Times New Roman"/>
          <w:color w:val="000000" w:themeColor="text1"/>
          <w14:textFill>
            <w14:solidFill>
              <w14:schemeClr w14:val="tx1"/>
            </w14:solidFill>
          </w14:textFill>
        </w:rPr>
      </w:pPr>
      <w:bookmarkStart w:id="1096" w:name="_Toc164083671"/>
      <w:bookmarkStart w:id="1097" w:name="_Toc164089882"/>
      <w:bookmarkStart w:id="1098" w:name="_Toc164089150"/>
      <w:bookmarkStart w:id="1099" w:name="_Toc164089736"/>
      <w:bookmarkStart w:id="1100" w:name="_Toc164090170"/>
      <w:bookmarkStart w:id="1101" w:name="_Toc164090280"/>
      <w:bookmarkStart w:id="1102" w:name="_Toc164150129"/>
      <w:bookmarkStart w:id="1103" w:name="_Toc164154465"/>
      <w:bookmarkStart w:id="1104" w:name="_Toc164170465"/>
      <w:bookmarkStart w:id="1105" w:name="_Toc164178176"/>
      <w:bookmarkStart w:id="1106" w:name="_Toc166223144"/>
      <w:bookmarkStart w:id="1107" w:name="_Toc164084675"/>
      <w:bookmarkStart w:id="1108" w:name="_Toc166835594"/>
      <w:bookmarkStart w:id="1109" w:name="_Toc166837424"/>
      <w:bookmarkStart w:id="1110" w:name="_Toc166253821"/>
      <w:r>
        <w:rPr>
          <w:rFonts w:ascii="Times New Roman"/>
          <w:color w:val="000000" w:themeColor="text1"/>
          <w14:textFill>
            <w14:solidFill>
              <w14:schemeClr w14:val="tx1"/>
            </w14:solidFill>
          </w14:textFill>
        </w:rPr>
        <w:t>资格</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28A6F3A7">
      <w:pPr>
        <w:pStyle w:val="58"/>
        <w:ind w:firstLine="42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从事登记、知情告知、接种等工作人员应具有执业医师、执业助理医师、护士或者乡镇执业助理医师资格。从事健康询问、留观和疑似预防接种异常反应处置等工作人员应具备执业医师或执业助理医师资格。从事疫苗管理、冷链监测等工作人员应具有执业医（药）师、执业助理医（药）师、护（药）士等资格。</w:t>
      </w:r>
    </w:p>
    <w:p w14:paraId="27DE263C">
      <w:pPr>
        <w:pStyle w:val="67"/>
        <w:spacing w:before="156" w:after="156"/>
        <w:ind w:left="0"/>
        <w:rPr>
          <w:rFonts w:ascii="Times New Roman"/>
          <w:color w:val="000000" w:themeColor="text1"/>
          <w14:textFill>
            <w14:solidFill>
              <w14:schemeClr w14:val="tx1"/>
            </w14:solidFill>
          </w14:textFill>
        </w:rPr>
      </w:pPr>
      <w:bookmarkStart w:id="1111" w:name="_Toc164083672"/>
      <w:bookmarkStart w:id="1112" w:name="_Toc164089151"/>
      <w:bookmarkStart w:id="1113" w:name="_Toc164084676"/>
      <w:bookmarkStart w:id="1114" w:name="_Toc164089883"/>
      <w:bookmarkStart w:id="1115" w:name="_Toc164090281"/>
      <w:bookmarkStart w:id="1116" w:name="_Toc164178177"/>
      <w:bookmarkStart w:id="1117" w:name="_Toc166223145"/>
      <w:bookmarkStart w:id="1118" w:name="_Toc164150130"/>
      <w:bookmarkStart w:id="1119" w:name="_Toc164154466"/>
      <w:bookmarkStart w:id="1120" w:name="_Toc164090171"/>
      <w:bookmarkStart w:id="1121" w:name="_Toc164170466"/>
      <w:bookmarkStart w:id="1122" w:name="_Toc166253822"/>
      <w:bookmarkStart w:id="1123" w:name="_Toc166835595"/>
      <w:bookmarkStart w:id="1124" w:name="_Toc166837425"/>
      <w:bookmarkStart w:id="1125" w:name="_Toc164089737"/>
      <w:r>
        <w:rPr>
          <w:rFonts w:ascii="Times New Roman"/>
          <w:color w:val="000000" w:themeColor="text1"/>
          <w14:textFill>
            <w14:solidFill>
              <w14:schemeClr w14:val="tx1"/>
            </w14:solidFill>
          </w14:textFill>
        </w:rPr>
        <w:t>资质</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p>
    <w:p w14:paraId="106D9A1A">
      <w:pPr>
        <w:pStyle w:val="58"/>
        <w:ind w:firstLine="42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从事健康询问、登记、知情告知、接种、留观、疑似预防接种异常反应处置等工作人员应经县级卫生健康主管部门组织的上岗前教育培训，考核合格并取得上岗证，从事卡介苗接种的工作人员应经卡介苗接种专业培训并取得卡介苗接种上岗证。预防接种工作人员和接种门诊负责人应接受县级卫生健康主管部门组织的每年不少于1次培训教育并考核合格。</w:t>
      </w:r>
    </w:p>
    <w:p w14:paraId="57BD83CD">
      <w:pPr>
        <w:pStyle w:val="107"/>
        <w:spacing w:before="156" w:after="156"/>
        <w:rPr>
          <w:rFonts w:ascii="Times New Roman"/>
          <w:color w:val="000000" w:themeColor="text1"/>
          <w14:textFill>
            <w14:solidFill>
              <w14:schemeClr w14:val="tx1"/>
            </w14:solidFill>
          </w14:textFill>
        </w:rPr>
      </w:pPr>
      <w:bookmarkStart w:id="1126" w:name="_Toc164178178"/>
      <w:bookmarkStart w:id="1127" w:name="_Toc166253823"/>
      <w:bookmarkStart w:id="1128" w:name="_Toc166835596"/>
      <w:bookmarkStart w:id="1129" w:name="_Toc166837426"/>
      <w:bookmarkStart w:id="1130" w:name="_Toc168488978"/>
      <w:bookmarkStart w:id="1131" w:name="_Toc166223146"/>
      <w:r>
        <w:rPr>
          <w:rFonts w:ascii="Times New Roman"/>
          <w:color w:val="000000" w:themeColor="text1"/>
          <w14:textFill>
            <w14:solidFill>
              <w14:schemeClr w14:val="tx1"/>
            </w14:solidFill>
          </w14:textFill>
        </w:rPr>
        <w:t>信息系统管理要求</w:t>
      </w:r>
      <w:bookmarkEnd w:id="1126"/>
      <w:bookmarkEnd w:id="1127"/>
      <w:bookmarkEnd w:id="1128"/>
      <w:bookmarkEnd w:id="1129"/>
      <w:bookmarkEnd w:id="1130"/>
      <w:bookmarkEnd w:id="1131"/>
    </w:p>
    <w:p w14:paraId="1C763DB2">
      <w:pPr>
        <w:widowControl/>
        <w:autoSpaceDE w:val="0"/>
        <w:autoSpaceDN w:val="0"/>
        <w:adjustRightInd/>
        <w:spacing w:line="240" w:lineRule="auto"/>
        <w:ind w:firstLine="420" w:firstLineChars="200"/>
        <w:rPr>
          <w:rFonts w:ascii="Times New Roman" w:hAnsi="Times New Roman"/>
          <w:color w:val="000000" w:themeColor="text1"/>
          <w:kern w:val="0"/>
          <w:szCs w:val="20"/>
          <w14:textFill>
            <w14:solidFill>
              <w14:schemeClr w14:val="tx1"/>
            </w14:solidFill>
          </w14:textFill>
        </w:rPr>
      </w:pPr>
      <w:r>
        <w:rPr>
          <w:rFonts w:ascii="Times New Roman" w:hAnsi="Times New Roman"/>
          <w:color w:val="000000" w:themeColor="text1"/>
          <w:kern w:val="0"/>
          <w:szCs w:val="20"/>
          <w14:textFill>
            <w14:solidFill>
              <w14:schemeClr w14:val="tx1"/>
            </w14:solidFill>
          </w14:textFill>
        </w:rPr>
        <w:t>安装并使用江苏省预防接种综合服务管理信息系统，用于建立电子预防接种档案、登记疫苗接种信息、监控冷链设备温度、管理疫苗出入库信息以及电子化健康询问、</w:t>
      </w:r>
      <w:r>
        <w:rPr>
          <w:rFonts w:hint="eastAsia" w:ascii="Times New Roman" w:hAnsi="Times New Roman"/>
          <w:color w:val="000000" w:themeColor="text1"/>
          <w:kern w:val="0"/>
          <w:szCs w:val="20"/>
          <w14:textFill>
            <w14:solidFill>
              <w14:schemeClr w14:val="tx1"/>
            </w14:solidFill>
          </w14:textFill>
        </w:rPr>
        <w:t>登记</w:t>
      </w:r>
      <w:r>
        <w:rPr>
          <w:rFonts w:ascii="Times New Roman" w:hAnsi="Times New Roman"/>
          <w:color w:val="000000" w:themeColor="text1"/>
          <w:kern w:val="0"/>
          <w:szCs w:val="20"/>
          <w14:textFill>
            <w14:solidFill>
              <w14:schemeClr w14:val="tx1"/>
            </w14:solidFill>
          </w14:textFill>
        </w:rPr>
        <w:t>、知情告知、扫码接种、自助留观等。</w:t>
      </w:r>
    </w:p>
    <w:p w14:paraId="7F29908E">
      <w:pPr>
        <w:pStyle w:val="107"/>
        <w:spacing w:before="156" w:after="156"/>
        <w:rPr>
          <w:rFonts w:ascii="Times New Roman"/>
          <w:color w:val="000000" w:themeColor="text1"/>
          <w14:textFill>
            <w14:solidFill>
              <w14:schemeClr w14:val="tx1"/>
            </w14:solidFill>
          </w14:textFill>
        </w:rPr>
      </w:pPr>
      <w:bookmarkStart w:id="1132" w:name="_Toc164089885"/>
      <w:bookmarkStart w:id="1133" w:name="_Toc164090173"/>
      <w:bookmarkStart w:id="1134" w:name="_Toc164154468"/>
      <w:bookmarkStart w:id="1135" w:name="_Toc164084678"/>
      <w:bookmarkStart w:id="1136" w:name="_Toc164089153"/>
      <w:bookmarkStart w:id="1137" w:name="_Toc166223147"/>
      <w:bookmarkStart w:id="1138" w:name="_Toc166835597"/>
      <w:bookmarkStart w:id="1139" w:name="_Toc164150132"/>
      <w:bookmarkStart w:id="1140" w:name="_Toc164083572"/>
      <w:bookmarkStart w:id="1141" w:name="_Toc163811075"/>
      <w:bookmarkStart w:id="1142" w:name="_Toc164089739"/>
      <w:bookmarkStart w:id="1143" w:name="_Toc164090283"/>
      <w:bookmarkStart w:id="1144" w:name="_Toc164178179"/>
      <w:bookmarkStart w:id="1145" w:name="_Toc166253824"/>
      <w:bookmarkStart w:id="1146" w:name="_Toc164083679"/>
      <w:bookmarkStart w:id="1147" w:name="_Toc166837427"/>
      <w:bookmarkStart w:id="1148" w:name="_Toc164170468"/>
      <w:bookmarkStart w:id="1149" w:name="_Toc168488979"/>
      <w:r>
        <w:rPr>
          <w:rFonts w:ascii="Times New Roman"/>
          <w:color w:val="000000" w:themeColor="text1"/>
          <w14:textFill>
            <w14:solidFill>
              <w14:schemeClr w14:val="tx1"/>
            </w14:solidFill>
          </w14:textFill>
        </w:rPr>
        <w:t>信息公示</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789B8EF2">
      <w:pPr>
        <w:pStyle w:val="67"/>
        <w:spacing w:before="156" w:after="156"/>
        <w:ind w:left="0"/>
        <w:rPr>
          <w:rFonts w:ascii="Times New Roman"/>
          <w:color w:val="000000" w:themeColor="text1"/>
          <w14:textFill>
            <w14:solidFill>
              <w14:schemeClr w14:val="tx1"/>
            </w14:solidFill>
          </w14:textFill>
        </w:rPr>
      </w:pPr>
      <w:bookmarkStart w:id="1150" w:name="_Toc164083680"/>
      <w:bookmarkStart w:id="1151" w:name="_Toc164084679"/>
      <w:bookmarkStart w:id="1152" w:name="_Toc164089154"/>
      <w:bookmarkStart w:id="1153" w:name="_Toc164090174"/>
      <w:bookmarkStart w:id="1154" w:name="_Toc164150133"/>
      <w:bookmarkStart w:id="1155" w:name="_Toc164090284"/>
      <w:bookmarkStart w:id="1156" w:name="_Toc166223148"/>
      <w:bookmarkStart w:id="1157" w:name="_Toc166253825"/>
      <w:bookmarkStart w:id="1158" w:name="_Toc164178180"/>
      <w:bookmarkStart w:id="1159" w:name="_Toc164154469"/>
      <w:bookmarkStart w:id="1160" w:name="_Toc166837428"/>
      <w:bookmarkStart w:id="1161" w:name="_Toc164089740"/>
      <w:bookmarkStart w:id="1162" w:name="_Toc164170469"/>
      <w:bookmarkStart w:id="1163" w:name="_Toc164089886"/>
      <w:bookmarkStart w:id="1164" w:name="_Toc166835598"/>
      <w:r>
        <w:rPr>
          <w:rFonts w:ascii="Times New Roman"/>
          <w:color w:val="000000" w:themeColor="text1"/>
          <w14:textFill>
            <w14:solidFill>
              <w14:schemeClr w14:val="tx1"/>
            </w14:solidFill>
          </w14:textFill>
        </w:rPr>
        <w:t>整体情况</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02C7C165">
      <w:pPr>
        <w:pStyle w:val="58"/>
        <w:ind w:firstLine="42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接种</w:t>
      </w:r>
      <w:r>
        <w:rPr>
          <w:rFonts w:hint="eastAsia" w:ascii="Times New Roman"/>
          <w:color w:val="000000" w:themeColor="text1"/>
          <w14:textFill>
            <w14:solidFill>
              <w14:schemeClr w14:val="tx1"/>
            </w14:solidFill>
          </w14:textFill>
        </w:rPr>
        <w:t>门诊</w:t>
      </w:r>
      <w:r>
        <w:rPr>
          <w:rFonts w:ascii="Times New Roman"/>
          <w:color w:val="000000" w:themeColor="text1"/>
          <w14:textFill>
            <w14:solidFill>
              <w14:schemeClr w14:val="tx1"/>
            </w14:solidFill>
          </w14:textFill>
        </w:rPr>
        <w:t>的资质、服务人群、服务项目、服务时间、联系方式、咨询及投诉举报电话等。</w:t>
      </w:r>
    </w:p>
    <w:p w14:paraId="4452ED53">
      <w:pPr>
        <w:pStyle w:val="67"/>
        <w:spacing w:before="156" w:after="156"/>
        <w:ind w:left="0"/>
        <w:rPr>
          <w:rFonts w:ascii="Times New Roman"/>
          <w:color w:val="000000" w:themeColor="text1"/>
          <w14:textFill>
            <w14:solidFill>
              <w14:schemeClr w14:val="tx1"/>
            </w14:solidFill>
          </w14:textFill>
        </w:rPr>
      </w:pPr>
      <w:bookmarkStart w:id="1165" w:name="_Toc164083681"/>
      <w:bookmarkStart w:id="1166" w:name="_Toc164084680"/>
      <w:bookmarkStart w:id="1167" w:name="_Toc164089155"/>
      <w:bookmarkStart w:id="1168" w:name="_Toc164089741"/>
      <w:bookmarkStart w:id="1169" w:name="_Toc164090285"/>
      <w:bookmarkStart w:id="1170" w:name="_Toc164150134"/>
      <w:bookmarkStart w:id="1171" w:name="_Toc164170470"/>
      <w:bookmarkStart w:id="1172" w:name="_Toc164154470"/>
      <w:bookmarkStart w:id="1173" w:name="_Toc166223149"/>
      <w:bookmarkStart w:id="1174" w:name="_Toc164178181"/>
      <w:bookmarkStart w:id="1175" w:name="_Toc166253826"/>
      <w:bookmarkStart w:id="1176" w:name="_Toc164089887"/>
      <w:bookmarkStart w:id="1177" w:name="_Toc164090175"/>
      <w:bookmarkStart w:id="1178" w:name="_Toc166835599"/>
      <w:bookmarkStart w:id="1179" w:name="_Toc166837429"/>
      <w:r>
        <w:rPr>
          <w:rFonts w:ascii="Times New Roman"/>
          <w:color w:val="000000" w:themeColor="text1"/>
          <w14:textFill>
            <w14:solidFill>
              <w14:schemeClr w14:val="tx1"/>
            </w14:solidFill>
          </w14:textFill>
        </w:rPr>
        <w:t>工作人员情况</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3C675462">
      <w:pPr>
        <w:pStyle w:val="58"/>
        <w:ind w:firstLine="42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工作人员基本信息</w:t>
      </w:r>
      <w:r>
        <w:rPr>
          <w:rFonts w:hint="eastAsia" w:ascii="Times New Roman"/>
          <w:color w:val="000000" w:themeColor="text1"/>
          <w14:textFill>
            <w14:solidFill>
              <w14:schemeClr w14:val="tx1"/>
            </w14:solidFill>
          </w14:textFill>
        </w:rPr>
        <w:t>：</w:t>
      </w:r>
      <w:r>
        <w:rPr>
          <w:rFonts w:ascii="Times New Roman"/>
          <w:color w:val="000000" w:themeColor="text1"/>
          <w14:textFill>
            <w14:solidFill>
              <w14:schemeClr w14:val="tx1"/>
            </w14:solidFill>
          </w14:textFill>
        </w:rPr>
        <w:t>照片、姓名、职责（或服务内容）。</w:t>
      </w:r>
    </w:p>
    <w:p w14:paraId="631D0C2A">
      <w:pPr>
        <w:pStyle w:val="67"/>
        <w:spacing w:before="156" w:after="156"/>
        <w:ind w:left="0"/>
        <w:rPr>
          <w:rFonts w:ascii="Times New Roman"/>
          <w:color w:val="000000" w:themeColor="text1"/>
          <w14:textFill>
            <w14:solidFill>
              <w14:schemeClr w14:val="tx1"/>
            </w14:solidFill>
          </w14:textFill>
        </w:rPr>
      </w:pPr>
      <w:bookmarkStart w:id="1180" w:name="_Toc164178182"/>
      <w:bookmarkStart w:id="1181" w:name="_Toc166837430"/>
      <w:bookmarkStart w:id="1182" w:name="_Toc164089742"/>
      <w:bookmarkStart w:id="1183" w:name="_Toc166835600"/>
      <w:bookmarkStart w:id="1184" w:name="_Toc164154471"/>
      <w:bookmarkStart w:id="1185" w:name="_Toc164083682"/>
      <w:bookmarkStart w:id="1186" w:name="_Toc164084681"/>
      <w:bookmarkStart w:id="1187" w:name="_Toc164089156"/>
      <w:bookmarkStart w:id="1188" w:name="_Toc164090176"/>
      <w:bookmarkStart w:id="1189" w:name="_Toc164150135"/>
      <w:bookmarkStart w:id="1190" w:name="_Toc164170471"/>
      <w:bookmarkStart w:id="1191" w:name="_Toc166223150"/>
      <w:bookmarkStart w:id="1192" w:name="_Toc166253827"/>
      <w:bookmarkStart w:id="1193" w:name="_Toc164089888"/>
      <w:bookmarkStart w:id="1194" w:name="_Toc164090286"/>
      <w:r>
        <w:rPr>
          <w:rFonts w:ascii="Times New Roman"/>
          <w:color w:val="000000" w:themeColor="text1"/>
          <w14:textFill>
            <w14:solidFill>
              <w14:schemeClr w14:val="tx1"/>
            </w14:solidFill>
          </w14:textFill>
        </w:rPr>
        <w:t>工作流程</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6C689BEB">
      <w:pPr>
        <w:pStyle w:val="58"/>
        <w:ind w:firstLine="42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产科预防接种服务工作流程、工作制度、疑似预防接种异常反应处置流程等。</w:t>
      </w:r>
    </w:p>
    <w:p w14:paraId="04327F76">
      <w:pPr>
        <w:pStyle w:val="67"/>
        <w:spacing w:before="156" w:after="156"/>
        <w:ind w:left="0"/>
        <w:rPr>
          <w:rFonts w:ascii="Times New Roman"/>
          <w:color w:val="000000" w:themeColor="text1"/>
          <w14:textFill>
            <w14:solidFill>
              <w14:schemeClr w14:val="tx1"/>
            </w14:solidFill>
          </w14:textFill>
        </w:rPr>
      </w:pPr>
      <w:bookmarkStart w:id="1195" w:name="_Toc164170472"/>
      <w:bookmarkStart w:id="1196" w:name="_Toc164090287"/>
      <w:bookmarkStart w:id="1197" w:name="_Toc164084682"/>
      <w:bookmarkStart w:id="1198" w:name="_Toc164154472"/>
      <w:bookmarkStart w:id="1199" w:name="_Toc164083683"/>
      <w:bookmarkStart w:id="1200" w:name="_Toc164089743"/>
      <w:bookmarkStart w:id="1201" w:name="_Toc164178183"/>
      <w:bookmarkStart w:id="1202" w:name="_Toc166223151"/>
      <w:bookmarkStart w:id="1203" w:name="_Toc166835601"/>
      <w:bookmarkStart w:id="1204" w:name="_Toc164089889"/>
      <w:bookmarkStart w:id="1205" w:name="_Toc166837431"/>
      <w:bookmarkStart w:id="1206" w:name="_Toc164150136"/>
      <w:bookmarkStart w:id="1207" w:name="_Toc164089157"/>
      <w:bookmarkStart w:id="1208" w:name="_Toc166253828"/>
      <w:bookmarkStart w:id="1209" w:name="_Toc164090177"/>
      <w:r>
        <w:rPr>
          <w:rFonts w:ascii="Times New Roman"/>
          <w:color w:val="000000" w:themeColor="text1"/>
          <w14:textFill>
            <w14:solidFill>
              <w14:schemeClr w14:val="tx1"/>
            </w14:solidFill>
          </w14:textFill>
        </w:rPr>
        <w:t>疫苗信息</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2050735D">
      <w:pPr>
        <w:pStyle w:val="58"/>
        <w:ind w:firstLine="42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该门诊提供接种的疫苗、</w:t>
      </w:r>
      <w:r>
        <w:rPr>
          <w:rFonts w:hint="eastAsia" w:ascii="Times New Roman"/>
          <w:color w:val="000000" w:themeColor="text1"/>
          <w14:textFill>
            <w14:solidFill>
              <w14:schemeClr w14:val="tx1"/>
            </w14:solidFill>
          </w14:textFill>
        </w:rPr>
        <w:t>生产企业</w:t>
      </w:r>
      <w:r>
        <w:rPr>
          <w:rFonts w:ascii="Times New Roman"/>
          <w:color w:val="000000" w:themeColor="text1"/>
          <w14:textFill>
            <w14:solidFill>
              <w14:schemeClr w14:val="tx1"/>
            </w14:solidFill>
          </w14:textFill>
        </w:rPr>
        <w:t>、接种对象、免疫程序、接种方法、接种禁忌以及疫苗价格、接种服务收费等。</w:t>
      </w:r>
    </w:p>
    <w:p w14:paraId="496671AE">
      <w:pPr>
        <w:pStyle w:val="67"/>
        <w:spacing w:before="156" w:after="156"/>
        <w:ind w:left="0"/>
        <w:rPr>
          <w:rFonts w:ascii="Times New Roman"/>
          <w:color w:val="000000" w:themeColor="text1"/>
          <w14:textFill>
            <w14:solidFill>
              <w14:schemeClr w14:val="tx1"/>
            </w14:solidFill>
          </w14:textFill>
        </w:rPr>
      </w:pPr>
      <w:bookmarkStart w:id="1210" w:name="_Toc166223152"/>
      <w:bookmarkStart w:id="1211" w:name="_Toc164083684"/>
      <w:bookmarkStart w:id="1212" w:name="_Toc164178184"/>
      <w:bookmarkStart w:id="1213" w:name="_Toc164089744"/>
      <w:bookmarkStart w:id="1214" w:name="_Toc164089158"/>
      <w:bookmarkStart w:id="1215" w:name="_Toc166835602"/>
      <w:bookmarkStart w:id="1216" w:name="_Toc164154473"/>
      <w:bookmarkStart w:id="1217" w:name="_Toc164090288"/>
      <w:bookmarkStart w:id="1218" w:name="_Toc164084683"/>
      <w:bookmarkStart w:id="1219" w:name="_Toc164170473"/>
      <w:bookmarkStart w:id="1220" w:name="_Toc166837432"/>
      <w:bookmarkStart w:id="1221" w:name="_Toc164090178"/>
      <w:bookmarkStart w:id="1222" w:name="_Toc164150137"/>
      <w:bookmarkStart w:id="1223" w:name="_Toc164089890"/>
      <w:bookmarkStart w:id="1224" w:name="_Toc166253829"/>
      <w:r>
        <w:rPr>
          <w:rFonts w:ascii="Times New Roman"/>
          <w:color w:val="000000" w:themeColor="text1"/>
          <w14:textFill>
            <w14:solidFill>
              <w14:schemeClr w14:val="tx1"/>
            </w14:solidFill>
          </w14:textFill>
        </w:rPr>
        <w:t>其他内容</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7A23F135">
      <w:pPr>
        <w:pStyle w:val="58"/>
        <w:ind w:firstLine="42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国家免疫规划政策、法律法规和预防接种相关知识、工作制度、疑似预防接种异常反应补偿政策等。</w:t>
      </w:r>
    </w:p>
    <w:p w14:paraId="4FE965A8">
      <w:pPr>
        <w:pStyle w:val="106"/>
        <w:spacing w:before="312" w:after="312"/>
        <w:rPr>
          <w:rFonts w:ascii="Times New Roman"/>
          <w:color w:val="000000" w:themeColor="text1" w:themeShade="BF"/>
        </w:rPr>
      </w:pPr>
      <w:bookmarkStart w:id="1225" w:name="_Toc163811076"/>
      <w:bookmarkStart w:id="1226" w:name="_Toc164090289"/>
      <w:bookmarkStart w:id="1227" w:name="_Toc164090179"/>
      <w:bookmarkStart w:id="1228" w:name="_Toc164178185"/>
      <w:bookmarkStart w:id="1229" w:name="_Toc164154474"/>
      <w:bookmarkStart w:id="1230" w:name="_Toc164083573"/>
      <w:bookmarkStart w:id="1231" w:name="_Toc166837433"/>
      <w:bookmarkStart w:id="1232" w:name="_Toc164089745"/>
      <w:bookmarkStart w:id="1233" w:name="_Toc164084684"/>
      <w:bookmarkStart w:id="1234" w:name="_Toc166223153"/>
      <w:bookmarkStart w:id="1235" w:name="_Toc166253830"/>
      <w:bookmarkStart w:id="1236" w:name="_Toc164089891"/>
      <w:bookmarkStart w:id="1237" w:name="_Toc164170474"/>
      <w:bookmarkStart w:id="1238" w:name="_Toc168488980"/>
      <w:bookmarkStart w:id="1239" w:name="_Toc166835603"/>
      <w:bookmarkStart w:id="1240" w:name="_Toc168488993"/>
      <w:bookmarkStart w:id="1241" w:name="_Toc168581125"/>
      <w:bookmarkStart w:id="1242" w:name="_Toc164083685"/>
      <w:bookmarkStart w:id="1243" w:name="_Toc164089159"/>
      <w:bookmarkStart w:id="1244" w:name="_Toc164150138"/>
      <w:r>
        <w:rPr>
          <w:rFonts w:ascii="Times New Roman"/>
          <w:color w:val="000000" w:themeColor="text1" w:themeShade="BF"/>
        </w:rPr>
        <w:t>狂犬病暴露预防处置门诊</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14:paraId="47EDAAFC">
      <w:pPr>
        <w:pStyle w:val="107"/>
        <w:spacing w:before="156" w:after="156"/>
        <w:rPr>
          <w:rFonts w:ascii="Times New Roman"/>
          <w:color w:val="000000" w:themeColor="text1" w:themeShade="BF"/>
        </w:rPr>
      </w:pPr>
      <w:bookmarkStart w:id="1245" w:name="_Toc164170475"/>
      <w:bookmarkStart w:id="1246" w:name="_Toc164090290"/>
      <w:bookmarkStart w:id="1247" w:name="_Toc164084685"/>
      <w:bookmarkStart w:id="1248" w:name="_Toc164150139"/>
      <w:bookmarkStart w:id="1249" w:name="_Toc166223154"/>
      <w:bookmarkStart w:id="1250" w:name="_Toc164154475"/>
      <w:bookmarkStart w:id="1251" w:name="_Toc164089892"/>
      <w:bookmarkStart w:id="1252" w:name="_Toc166253831"/>
      <w:bookmarkStart w:id="1253" w:name="_Toc164090180"/>
      <w:bookmarkStart w:id="1254" w:name="_Toc164089746"/>
      <w:bookmarkStart w:id="1255" w:name="_Toc164083574"/>
      <w:bookmarkStart w:id="1256" w:name="_Toc166835604"/>
      <w:bookmarkStart w:id="1257" w:name="_Toc164089160"/>
      <w:bookmarkStart w:id="1258" w:name="_Toc166837434"/>
      <w:bookmarkStart w:id="1259" w:name="_Toc168488981"/>
      <w:bookmarkStart w:id="1260" w:name="_Toc164178186"/>
      <w:bookmarkStart w:id="1261" w:name="_Toc163811077"/>
      <w:bookmarkStart w:id="1262" w:name="_Toc164083686"/>
      <w:r>
        <w:rPr>
          <w:rFonts w:ascii="Times New Roman"/>
          <w:color w:val="000000" w:themeColor="text1" w:themeShade="BF"/>
        </w:rPr>
        <w:t>门诊分级</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03C54DEE">
      <w:pPr>
        <w:pStyle w:val="67"/>
        <w:spacing w:before="156" w:after="156"/>
        <w:ind w:left="0"/>
        <w:rPr>
          <w:rFonts w:ascii="Times New Roman"/>
          <w:color w:val="000000" w:themeColor="text1" w:themeShade="BF"/>
        </w:rPr>
      </w:pPr>
      <w:bookmarkStart w:id="1263" w:name="_Toc164083687"/>
      <w:bookmarkStart w:id="1264" w:name="_Toc164084686"/>
      <w:bookmarkStart w:id="1265" w:name="_Toc164089161"/>
      <w:bookmarkStart w:id="1266" w:name="_Toc164089747"/>
      <w:bookmarkStart w:id="1267" w:name="_Toc164089893"/>
      <w:bookmarkStart w:id="1268" w:name="_Toc164090181"/>
      <w:bookmarkStart w:id="1269" w:name="_Toc166837435"/>
      <w:bookmarkStart w:id="1270" w:name="_Toc164154476"/>
      <w:bookmarkStart w:id="1271" w:name="_Toc164150140"/>
      <w:bookmarkStart w:id="1272" w:name="_Toc166253832"/>
      <w:bookmarkStart w:id="1273" w:name="_Toc164178187"/>
      <w:bookmarkStart w:id="1274" w:name="_Toc164090291"/>
      <w:bookmarkStart w:id="1275" w:name="_Toc166835605"/>
      <w:bookmarkStart w:id="1276" w:name="_Toc166223155"/>
      <w:bookmarkStart w:id="1277" w:name="_Toc164170476"/>
      <w:r>
        <w:rPr>
          <w:rFonts w:ascii="Times New Roman"/>
          <w:color w:val="000000" w:themeColor="text1" w:themeShade="BF"/>
        </w:rPr>
        <w:t>一级门诊</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434B68C5">
      <w:pPr>
        <w:widowControl/>
        <w:autoSpaceDE w:val="0"/>
        <w:autoSpaceDN w:val="0"/>
        <w:adjustRightInd/>
        <w:spacing w:line="240" w:lineRule="auto"/>
        <w:ind w:firstLine="420" w:firstLineChars="200"/>
        <w:rPr>
          <w:rFonts w:ascii="Times New Roman" w:hAnsi="Times New Roman"/>
          <w:color w:val="000000" w:themeColor="text1" w:themeShade="BF"/>
          <w:kern w:val="0"/>
          <w:szCs w:val="20"/>
        </w:rPr>
      </w:pPr>
      <w:r>
        <w:rPr>
          <w:rFonts w:ascii="Times New Roman" w:hAnsi="Times New Roman"/>
          <w:color w:val="000000" w:themeColor="text1" w:themeShade="BF"/>
          <w:kern w:val="0"/>
          <w:szCs w:val="20"/>
        </w:rPr>
        <w:t>可为狂犬病暴露者或狂犬病高暴露风险者提供狂犬病疫苗、狂犬病被动免疫制剂</w:t>
      </w:r>
      <w:r>
        <w:rPr>
          <w:rFonts w:hint="eastAsia" w:ascii="Times New Roman" w:hAnsi="Times New Roman"/>
          <w:color w:val="000000" w:themeColor="text1" w:themeShade="BF"/>
          <w:kern w:val="0"/>
          <w:szCs w:val="20"/>
        </w:rPr>
        <w:t>、根据需要提供</w:t>
      </w:r>
      <w:r>
        <w:rPr>
          <w:rFonts w:ascii="Times New Roman" w:hAnsi="Times New Roman"/>
          <w:color w:val="000000" w:themeColor="text1" w:themeShade="BF"/>
          <w:kern w:val="0"/>
          <w:szCs w:val="20"/>
        </w:rPr>
        <w:t>破伤风疫苗及其被动免疫制剂，并</w:t>
      </w:r>
      <w:r>
        <w:rPr>
          <w:rFonts w:hint="eastAsia" w:ascii="Times New Roman" w:hAnsi="Times New Roman"/>
          <w:color w:val="000000" w:themeColor="text1" w:themeShade="BF"/>
          <w:kern w:val="0"/>
          <w:szCs w:val="20"/>
        </w:rPr>
        <w:t>具备</w:t>
      </w:r>
      <w:r>
        <w:rPr>
          <w:rFonts w:hint="eastAsia" w:ascii="宋体" w:hAnsi="宋体" w:cs="宋体"/>
          <w:color w:val="000000" w:themeColor="text1" w:themeShade="BF"/>
          <w:kern w:val="0"/>
          <w:szCs w:val="20"/>
        </w:rPr>
        <w:t>Ⅱ</w:t>
      </w:r>
      <w:r>
        <w:rPr>
          <w:rFonts w:ascii="Times New Roman" w:hAnsi="Times New Roman"/>
          <w:color w:val="000000" w:themeColor="text1" w:themeShade="BF"/>
          <w:kern w:val="0"/>
          <w:szCs w:val="20"/>
        </w:rPr>
        <w:t>级和非外科手术的</w:t>
      </w:r>
      <w:r>
        <w:rPr>
          <w:rFonts w:hint="eastAsia" w:ascii="宋体" w:hAnsi="宋体" w:cs="宋体"/>
          <w:color w:val="000000" w:themeColor="text1" w:themeShade="BF"/>
          <w:kern w:val="0"/>
          <w:szCs w:val="20"/>
        </w:rPr>
        <w:t>Ⅲ</w:t>
      </w:r>
      <w:r>
        <w:rPr>
          <w:rFonts w:ascii="Times New Roman" w:hAnsi="Times New Roman"/>
          <w:color w:val="000000" w:themeColor="text1" w:themeShade="BF"/>
          <w:kern w:val="0"/>
          <w:szCs w:val="20"/>
        </w:rPr>
        <w:t>级狂犬病暴露者伤口处理</w:t>
      </w:r>
      <w:r>
        <w:rPr>
          <w:rFonts w:hint="eastAsia" w:ascii="Times New Roman" w:hAnsi="Times New Roman"/>
          <w:color w:val="000000" w:themeColor="text1" w:themeShade="BF"/>
          <w:kern w:val="0"/>
          <w:szCs w:val="20"/>
        </w:rPr>
        <w:t>能力</w:t>
      </w:r>
      <w:r>
        <w:rPr>
          <w:rFonts w:ascii="Times New Roman" w:hAnsi="Times New Roman"/>
          <w:color w:val="000000" w:themeColor="text1" w:themeShade="BF"/>
          <w:kern w:val="0"/>
          <w:szCs w:val="20"/>
        </w:rPr>
        <w:t>。</w:t>
      </w:r>
    </w:p>
    <w:p w14:paraId="3EFF2815">
      <w:pPr>
        <w:pStyle w:val="67"/>
        <w:spacing w:before="156" w:after="156"/>
        <w:ind w:left="0"/>
        <w:rPr>
          <w:rFonts w:ascii="Times New Roman"/>
          <w:color w:val="000000" w:themeColor="text1" w:themeShade="BF"/>
        </w:rPr>
      </w:pPr>
      <w:bookmarkStart w:id="1278" w:name="_Toc164083688"/>
      <w:bookmarkStart w:id="1279" w:name="_Toc164089894"/>
      <w:bookmarkStart w:id="1280" w:name="_Toc164090292"/>
      <w:bookmarkStart w:id="1281" w:name="_Toc164150141"/>
      <w:bookmarkStart w:id="1282" w:name="_Toc166835606"/>
      <w:bookmarkStart w:id="1283" w:name="_Toc166223156"/>
      <w:bookmarkStart w:id="1284" w:name="_Toc164178188"/>
      <w:bookmarkStart w:id="1285" w:name="_Toc164089162"/>
      <w:bookmarkStart w:id="1286" w:name="_Toc164170477"/>
      <w:bookmarkStart w:id="1287" w:name="_Toc164090182"/>
      <w:bookmarkStart w:id="1288" w:name="_Toc166837436"/>
      <w:bookmarkStart w:id="1289" w:name="_Toc164084687"/>
      <w:bookmarkStart w:id="1290" w:name="_Toc164154477"/>
      <w:bookmarkStart w:id="1291" w:name="_Toc164089748"/>
      <w:bookmarkStart w:id="1292" w:name="_Toc166253833"/>
      <w:r>
        <w:rPr>
          <w:rFonts w:ascii="Times New Roman"/>
          <w:color w:val="000000" w:themeColor="text1" w:themeShade="BF"/>
        </w:rPr>
        <w:t>二级门诊</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5DB1714A">
      <w:pPr>
        <w:widowControl/>
        <w:autoSpaceDE w:val="0"/>
        <w:autoSpaceDN w:val="0"/>
        <w:adjustRightInd/>
        <w:spacing w:line="240" w:lineRule="auto"/>
        <w:ind w:firstLine="420" w:firstLineChars="200"/>
        <w:rPr>
          <w:rFonts w:ascii="Times New Roman" w:hAnsi="Times New Roman"/>
          <w:color w:val="000000" w:themeColor="text1" w:themeShade="BF"/>
          <w:kern w:val="0"/>
          <w:szCs w:val="20"/>
        </w:rPr>
      </w:pPr>
      <w:r>
        <w:rPr>
          <w:rFonts w:ascii="Times New Roman" w:hAnsi="Times New Roman"/>
          <w:color w:val="000000" w:themeColor="text1" w:themeShade="BF"/>
          <w:kern w:val="0"/>
          <w:szCs w:val="20"/>
        </w:rPr>
        <w:t>在一级门诊基础上，具备处理贯穿皮肤及皮肤肌肉撕裂等</w:t>
      </w:r>
      <w:r>
        <w:rPr>
          <w:rFonts w:hint="eastAsia" w:ascii="宋体" w:hAnsi="宋体" w:cs="宋体"/>
          <w:color w:val="000000" w:themeColor="text1" w:themeShade="BF"/>
          <w:kern w:val="0"/>
          <w:szCs w:val="20"/>
        </w:rPr>
        <w:t>Ⅲ</w:t>
      </w:r>
      <w:r>
        <w:rPr>
          <w:rFonts w:ascii="Times New Roman" w:hAnsi="Times New Roman"/>
          <w:color w:val="000000" w:themeColor="text1" w:themeShade="BF"/>
          <w:kern w:val="0"/>
          <w:szCs w:val="20"/>
        </w:rPr>
        <w:t>级严重、复杂伤口</w:t>
      </w:r>
      <w:r>
        <w:rPr>
          <w:rFonts w:hint="eastAsia" w:ascii="Times New Roman" w:hAnsi="Times New Roman"/>
          <w:color w:val="000000" w:themeColor="text1" w:themeShade="BF"/>
          <w:kern w:val="0"/>
          <w:szCs w:val="20"/>
        </w:rPr>
        <w:t>、需要</w:t>
      </w:r>
      <w:r>
        <w:rPr>
          <w:rFonts w:ascii="Times New Roman" w:hAnsi="Times New Roman"/>
          <w:color w:val="000000" w:themeColor="text1" w:themeShade="BF"/>
          <w:kern w:val="0"/>
          <w:szCs w:val="20"/>
        </w:rPr>
        <w:t>伤口缝合、外科手术等的能力</w:t>
      </w:r>
      <w:r>
        <w:rPr>
          <w:rFonts w:hint="eastAsia" w:ascii="Times New Roman" w:hAnsi="Times New Roman"/>
          <w:color w:val="000000" w:themeColor="text1" w:themeShade="BF"/>
          <w:kern w:val="0"/>
          <w:szCs w:val="20"/>
        </w:rPr>
        <w:t>，</w:t>
      </w:r>
      <w:r>
        <w:rPr>
          <w:rFonts w:ascii="Times New Roman" w:hAnsi="Times New Roman"/>
          <w:color w:val="000000" w:themeColor="text1" w:themeShade="BF"/>
          <w:kern w:val="0"/>
          <w:szCs w:val="20"/>
        </w:rPr>
        <w:t>且24</w:t>
      </w:r>
      <w:r>
        <w:rPr>
          <w:rFonts w:hint="eastAsia" w:ascii="Times New Roman" w:hAnsi="Times New Roman"/>
          <w:color w:val="000000" w:themeColor="text1" w:themeShade="BF"/>
          <w:kern w:val="0"/>
          <w:szCs w:val="20"/>
        </w:rPr>
        <w:t>小时</w:t>
      </w:r>
      <w:r>
        <w:rPr>
          <w:rFonts w:ascii="Times New Roman" w:hAnsi="Times New Roman"/>
          <w:color w:val="000000" w:themeColor="text1" w:themeShade="BF"/>
          <w:kern w:val="0"/>
          <w:szCs w:val="20"/>
        </w:rPr>
        <w:t>开诊。</w:t>
      </w:r>
    </w:p>
    <w:p w14:paraId="7B53FE8B">
      <w:pPr>
        <w:pStyle w:val="107"/>
        <w:spacing w:before="156" w:after="156"/>
        <w:rPr>
          <w:rFonts w:ascii="Times New Roman"/>
          <w:color w:val="000000" w:themeColor="text1" w:themeShade="BF"/>
        </w:rPr>
      </w:pPr>
      <w:bookmarkStart w:id="1293" w:name="_Toc164083689"/>
      <w:bookmarkStart w:id="1294" w:name="_Toc163811078"/>
      <w:bookmarkStart w:id="1295" w:name="_Toc164090183"/>
      <w:bookmarkStart w:id="1296" w:name="_Toc164089895"/>
      <w:bookmarkStart w:id="1297" w:name="_Toc164170478"/>
      <w:bookmarkStart w:id="1298" w:name="_Toc164084688"/>
      <w:bookmarkStart w:id="1299" w:name="_Toc164089163"/>
      <w:bookmarkStart w:id="1300" w:name="_Toc164178189"/>
      <w:bookmarkStart w:id="1301" w:name="_Toc164083575"/>
      <w:bookmarkStart w:id="1302" w:name="_Toc166223157"/>
      <w:bookmarkStart w:id="1303" w:name="_Toc164089749"/>
      <w:bookmarkStart w:id="1304" w:name="_Toc164090293"/>
      <w:bookmarkStart w:id="1305" w:name="_Toc164150142"/>
      <w:bookmarkStart w:id="1306" w:name="_Toc166253834"/>
      <w:bookmarkStart w:id="1307" w:name="_Toc166835607"/>
      <w:bookmarkStart w:id="1308" w:name="_Toc168488982"/>
      <w:bookmarkStart w:id="1309" w:name="_Toc164154478"/>
      <w:bookmarkStart w:id="1310" w:name="_Toc166837437"/>
      <w:r>
        <w:rPr>
          <w:rFonts w:ascii="Times New Roman"/>
          <w:color w:val="000000" w:themeColor="text1" w:themeShade="BF"/>
        </w:rPr>
        <w:t>一级门诊设置要求</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60591274">
      <w:pPr>
        <w:pStyle w:val="67"/>
        <w:spacing w:before="156" w:after="156"/>
        <w:ind w:left="0"/>
        <w:rPr>
          <w:rFonts w:ascii="Times New Roman"/>
          <w:color w:val="000000" w:themeColor="text1" w:themeShade="BF"/>
        </w:rPr>
      </w:pPr>
      <w:bookmarkStart w:id="1311" w:name="_Toc164089896"/>
      <w:bookmarkStart w:id="1312" w:name="_Toc164083691"/>
      <w:bookmarkStart w:id="1313" w:name="_Toc164084689"/>
      <w:bookmarkStart w:id="1314" w:name="_Toc164089164"/>
      <w:bookmarkStart w:id="1315" w:name="_Toc164089750"/>
      <w:bookmarkStart w:id="1316" w:name="_Toc166835608"/>
      <w:bookmarkStart w:id="1317" w:name="_Toc164154479"/>
      <w:bookmarkStart w:id="1318" w:name="_Toc166837438"/>
      <w:bookmarkStart w:id="1319" w:name="_Toc166223158"/>
      <w:bookmarkStart w:id="1320" w:name="_Toc166253835"/>
      <w:bookmarkStart w:id="1321" w:name="_Toc164178190"/>
      <w:bookmarkStart w:id="1322" w:name="_Toc164090294"/>
      <w:bookmarkStart w:id="1323" w:name="_Toc164170479"/>
      <w:bookmarkStart w:id="1324" w:name="_Toc164090184"/>
      <w:bookmarkStart w:id="1325" w:name="_Toc164150143"/>
      <w:r>
        <w:rPr>
          <w:rFonts w:ascii="Times New Roman"/>
          <w:color w:val="000000" w:themeColor="text1" w:themeShade="BF"/>
        </w:rPr>
        <w:t>基础配置</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5425E500">
      <w:pPr>
        <w:pStyle w:val="96"/>
        <w:spacing w:before="156" w:after="156"/>
        <w:rPr>
          <w:rFonts w:ascii="Times New Roman"/>
          <w:color w:val="000000" w:themeColor="text1" w:themeShade="BF"/>
        </w:rPr>
      </w:pPr>
      <w:bookmarkStart w:id="1326" w:name="_Toc164090185"/>
      <w:bookmarkStart w:id="1327" w:name="_Toc164090295"/>
      <w:bookmarkStart w:id="1328" w:name="_Toc164150144"/>
      <w:bookmarkStart w:id="1329" w:name="_Toc164170480"/>
      <w:bookmarkStart w:id="1330" w:name="_Toc166223159"/>
      <w:bookmarkStart w:id="1331" w:name="_Toc166835609"/>
      <w:bookmarkStart w:id="1332" w:name="_Toc164178191"/>
      <w:bookmarkStart w:id="1333" w:name="_Toc164154480"/>
      <w:bookmarkStart w:id="1334" w:name="_Toc166253836"/>
      <w:bookmarkStart w:id="1335" w:name="_Toc166837439"/>
      <w:r>
        <w:rPr>
          <w:rFonts w:ascii="Times New Roman"/>
          <w:color w:val="000000" w:themeColor="text1" w:themeShade="BF"/>
        </w:rPr>
        <w:t>房屋配备</w:t>
      </w:r>
      <w:bookmarkEnd w:id="1326"/>
      <w:bookmarkEnd w:id="1327"/>
      <w:bookmarkEnd w:id="1328"/>
      <w:bookmarkEnd w:id="1329"/>
      <w:bookmarkEnd w:id="1330"/>
      <w:bookmarkEnd w:id="1331"/>
      <w:bookmarkEnd w:id="1332"/>
      <w:bookmarkEnd w:id="1333"/>
      <w:bookmarkEnd w:id="1334"/>
      <w:bookmarkEnd w:id="1335"/>
    </w:p>
    <w:p w14:paraId="4CCF0A50">
      <w:pPr>
        <w:widowControl/>
        <w:adjustRightInd/>
        <w:spacing w:before="156" w:beforeLines="50" w:after="156" w:afterLines="50" w:line="240" w:lineRule="auto"/>
        <w:ind w:firstLine="420" w:firstLineChars="200"/>
        <w:rPr>
          <w:rFonts w:ascii="Times New Roman" w:hAnsi="Times New Roman"/>
          <w:color w:val="000000" w:themeColor="text1" w:themeShade="BF"/>
          <w:kern w:val="0"/>
          <w:szCs w:val="20"/>
        </w:rPr>
      </w:pPr>
      <w:r>
        <w:rPr>
          <w:rFonts w:ascii="Times New Roman" w:hAnsi="Times New Roman"/>
          <w:color w:val="000000" w:themeColor="text1" w:themeShade="BF"/>
          <w:kern w:val="0"/>
          <w:szCs w:val="20"/>
        </w:rPr>
        <w:t>配置</w:t>
      </w:r>
      <w:r>
        <w:rPr>
          <w:rFonts w:ascii="Times New Roman" w:hAnsi="Times New Roman"/>
          <w:color w:val="000000" w:themeColor="text1" w:themeShade="BF"/>
        </w:rPr>
        <w:t>使用面积</w:t>
      </w:r>
      <w:r>
        <w:rPr>
          <w:rFonts w:ascii="Times New Roman" w:hAnsi="Times New Roman"/>
          <w:color w:val="000000" w:themeColor="text1" w:themeShade="BF"/>
          <w:kern w:val="0"/>
          <w:szCs w:val="20"/>
        </w:rPr>
        <w:t>不少于30 m</w:t>
      </w:r>
      <w:r>
        <w:rPr>
          <w:rFonts w:ascii="Times New Roman" w:hAnsi="Times New Roman"/>
          <w:color w:val="000000" w:themeColor="text1" w:themeShade="BF"/>
          <w:kern w:val="0"/>
          <w:szCs w:val="20"/>
          <w:vertAlign w:val="superscript"/>
        </w:rPr>
        <w:t>2</w:t>
      </w:r>
      <w:r>
        <w:rPr>
          <w:rFonts w:ascii="Times New Roman" w:hAnsi="Times New Roman"/>
          <w:color w:val="000000" w:themeColor="text1" w:themeShade="BF"/>
          <w:kern w:val="0"/>
          <w:szCs w:val="20"/>
        </w:rPr>
        <w:t>预防接种专用房，设置在医疗机构内的狂犬病暴露预防处置门诊，应相对独立，与急诊科、外科相邻。应与儿童预防接种门诊分开设置</w:t>
      </w:r>
      <w:r>
        <w:rPr>
          <w:rFonts w:hint="eastAsia" w:ascii="Times New Roman" w:hAnsi="Times New Roman"/>
          <w:color w:val="000000" w:themeColor="text1" w:themeShade="BF"/>
          <w:kern w:val="0"/>
          <w:szCs w:val="20"/>
        </w:rPr>
        <w:t>，</w:t>
      </w:r>
      <w:r>
        <w:rPr>
          <w:rFonts w:ascii="Times New Roman" w:hAnsi="Times New Roman"/>
          <w:color w:val="000000" w:themeColor="text1" w:themeShade="BF"/>
          <w:kern w:val="0"/>
          <w:szCs w:val="20"/>
        </w:rPr>
        <w:t>与成人预防接种门诊共设的狂犬病暴露预防处置门诊，应设有独立的伤口处置区。</w:t>
      </w:r>
    </w:p>
    <w:p w14:paraId="3DCB8CAF">
      <w:pPr>
        <w:pStyle w:val="96"/>
        <w:spacing w:before="156" w:after="156"/>
        <w:rPr>
          <w:rFonts w:ascii="Times New Roman"/>
          <w:color w:val="000000" w:themeColor="text1" w:themeShade="BF"/>
        </w:rPr>
      </w:pPr>
      <w:bookmarkStart w:id="1336" w:name="_Toc164178192"/>
      <w:bookmarkStart w:id="1337" w:name="_Toc166837440"/>
      <w:bookmarkStart w:id="1338" w:name="_Toc166253837"/>
      <w:bookmarkStart w:id="1339" w:name="_Toc164154481"/>
      <w:bookmarkStart w:id="1340" w:name="_Toc164090186"/>
      <w:bookmarkStart w:id="1341" w:name="_Toc164150145"/>
      <w:bookmarkStart w:id="1342" w:name="_Toc166223160"/>
      <w:bookmarkStart w:id="1343" w:name="_Toc164170481"/>
      <w:bookmarkStart w:id="1344" w:name="_Toc166835610"/>
      <w:bookmarkStart w:id="1345" w:name="_Toc164090296"/>
      <w:r>
        <w:rPr>
          <w:rFonts w:ascii="Times New Roman"/>
          <w:color w:val="000000" w:themeColor="text1" w:themeShade="BF"/>
        </w:rPr>
        <w:t>功能分区和布局</w:t>
      </w:r>
      <w:bookmarkEnd w:id="1336"/>
      <w:bookmarkEnd w:id="1337"/>
      <w:bookmarkEnd w:id="1338"/>
      <w:bookmarkEnd w:id="1339"/>
      <w:bookmarkEnd w:id="1340"/>
      <w:bookmarkEnd w:id="1341"/>
      <w:bookmarkEnd w:id="1342"/>
      <w:bookmarkEnd w:id="1343"/>
      <w:bookmarkEnd w:id="1344"/>
      <w:bookmarkEnd w:id="1345"/>
    </w:p>
    <w:p w14:paraId="44E0E573">
      <w:pPr>
        <w:pStyle w:val="58"/>
        <w:ind w:firstLine="420"/>
        <w:rPr>
          <w:rFonts w:ascii="Times New Roman"/>
          <w:color w:val="000000" w:themeColor="text1" w:themeShade="BF"/>
        </w:rPr>
      </w:pPr>
      <w:r>
        <w:rPr>
          <w:rFonts w:ascii="Times New Roman"/>
          <w:color w:val="000000" w:themeColor="text1" w:themeShade="BF"/>
        </w:rPr>
        <w:t>设置候诊/健康询问/登记/知情告知室/区、伤口处置室/区、接种室/区、留观室/区、疑似预防接种异常反应处置室/区、冷链室/区等功能区。按照</w:t>
      </w:r>
      <w:r>
        <w:rPr>
          <w:rFonts w:hAnsi="宋体"/>
          <w:color w:val="000000" w:themeColor="text1" w:themeShade="BF"/>
        </w:rPr>
        <w:t>“</w:t>
      </w:r>
      <w:r>
        <w:rPr>
          <w:rFonts w:ascii="Times New Roman"/>
          <w:color w:val="000000" w:themeColor="text1" w:themeShade="BF"/>
        </w:rPr>
        <w:t>候诊、暴露情况评估、健康询问/登记</w:t>
      </w:r>
      <w:r>
        <w:rPr>
          <w:rFonts w:hint="eastAsia" w:ascii="Times New Roman"/>
          <w:color w:val="000000" w:themeColor="text1" w:themeShade="BF"/>
        </w:rPr>
        <w:t>/</w:t>
      </w:r>
      <w:r>
        <w:rPr>
          <w:rFonts w:ascii="Times New Roman"/>
          <w:color w:val="000000" w:themeColor="text1" w:themeShade="BF"/>
        </w:rPr>
        <w:t>知情告知、伤口处置、被动免疫制剂及疫苗接种、留</w:t>
      </w:r>
      <w:r>
        <w:rPr>
          <w:rFonts w:hAnsi="宋体"/>
          <w:color w:val="000000" w:themeColor="text1" w:themeShade="BF"/>
        </w:rPr>
        <w:t>观”的</w:t>
      </w:r>
      <w:r>
        <w:rPr>
          <w:rFonts w:ascii="Times New Roman"/>
          <w:color w:val="000000" w:themeColor="text1" w:themeShade="BF"/>
        </w:rPr>
        <w:t>预防处置流程合理布局。伤口处置区与接种区应分区设置；如门诊服务量较大，应单独设置候诊室/区。</w:t>
      </w:r>
    </w:p>
    <w:p w14:paraId="02CF3862">
      <w:pPr>
        <w:pStyle w:val="67"/>
        <w:spacing w:before="156" w:after="156"/>
        <w:ind w:left="0"/>
        <w:rPr>
          <w:rFonts w:ascii="Times New Roman"/>
          <w:color w:val="000000" w:themeColor="text1" w:themeShade="BF"/>
        </w:rPr>
      </w:pPr>
      <w:bookmarkStart w:id="1346" w:name="_Toc166837441"/>
      <w:bookmarkStart w:id="1347" w:name="_Toc164083692"/>
      <w:bookmarkStart w:id="1348" w:name="_Toc164170482"/>
      <w:bookmarkStart w:id="1349" w:name="_Toc164089751"/>
      <w:bookmarkStart w:id="1350" w:name="_Toc164154482"/>
      <w:bookmarkStart w:id="1351" w:name="_Toc164178193"/>
      <w:bookmarkStart w:id="1352" w:name="_Toc166835611"/>
      <w:bookmarkStart w:id="1353" w:name="_Toc164090187"/>
      <w:bookmarkStart w:id="1354" w:name="_Toc164150146"/>
      <w:bookmarkStart w:id="1355" w:name="_Toc164084690"/>
      <w:bookmarkStart w:id="1356" w:name="_Toc166253838"/>
      <w:bookmarkStart w:id="1357" w:name="_Toc166223161"/>
      <w:bookmarkStart w:id="1358" w:name="_Toc164089897"/>
      <w:bookmarkStart w:id="1359" w:name="_Toc164090297"/>
      <w:bookmarkStart w:id="1360" w:name="_Toc164089165"/>
      <w:r>
        <w:rPr>
          <w:rFonts w:ascii="Times New Roman"/>
          <w:color w:val="000000" w:themeColor="text1" w:themeShade="BF"/>
        </w:rPr>
        <w:t>设施和设备</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62B2C5A4">
      <w:pPr>
        <w:pStyle w:val="96"/>
        <w:spacing w:before="156" w:after="156"/>
        <w:rPr>
          <w:rFonts w:ascii="Times New Roman"/>
          <w:color w:val="000000" w:themeColor="text1" w:themeShade="BF"/>
        </w:rPr>
      </w:pPr>
      <w:bookmarkStart w:id="1361" w:name="_Toc164089166"/>
      <w:bookmarkStart w:id="1362" w:name="_Toc164090188"/>
      <w:bookmarkStart w:id="1363" w:name="_Toc164083693"/>
      <w:bookmarkStart w:id="1364" w:name="_Toc164090298"/>
      <w:bookmarkStart w:id="1365" w:name="_Toc164089898"/>
      <w:bookmarkStart w:id="1366" w:name="_Toc164089752"/>
      <w:bookmarkStart w:id="1367" w:name="_Toc164150147"/>
      <w:bookmarkStart w:id="1368" w:name="_Toc164154483"/>
      <w:bookmarkStart w:id="1369" w:name="_Toc164084691"/>
      <w:bookmarkStart w:id="1370" w:name="_Toc166837442"/>
      <w:bookmarkStart w:id="1371" w:name="_Toc166253839"/>
      <w:bookmarkStart w:id="1372" w:name="_Toc164178194"/>
      <w:bookmarkStart w:id="1373" w:name="_Toc166835612"/>
      <w:bookmarkStart w:id="1374" w:name="_Toc166223162"/>
      <w:bookmarkStart w:id="1375" w:name="_Toc164170483"/>
      <w:r>
        <w:rPr>
          <w:rFonts w:ascii="Times New Roman"/>
          <w:color w:val="000000" w:themeColor="text1" w:themeShade="BF"/>
        </w:rPr>
        <w:t>整体要求</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7F550DB4">
      <w:pPr>
        <w:pStyle w:val="58"/>
        <w:ind w:firstLine="420"/>
        <w:rPr>
          <w:rFonts w:ascii="Times New Roman"/>
          <w:color w:val="000000" w:themeColor="text1" w:themeShade="BF"/>
        </w:rPr>
      </w:pPr>
      <w:r>
        <w:rPr>
          <w:rFonts w:ascii="Times New Roman"/>
          <w:color w:val="000000" w:themeColor="text1" w:themeShade="BF"/>
        </w:rPr>
        <w:t>各功能室/区均应有明显的标识。配备空气消毒、降温防寒、视频监控等设备，并根据需要配备医疗废物垃圾桶与生活垃圾桶。</w:t>
      </w:r>
    </w:p>
    <w:p w14:paraId="7CFB9D29">
      <w:pPr>
        <w:pStyle w:val="96"/>
        <w:spacing w:before="156" w:after="156"/>
        <w:rPr>
          <w:rFonts w:ascii="Times New Roman"/>
          <w:color w:val="000000" w:themeColor="text1" w:themeShade="BF"/>
        </w:rPr>
      </w:pPr>
      <w:bookmarkStart w:id="1376" w:name="_Toc164090189"/>
      <w:bookmarkStart w:id="1377" w:name="_Toc164178195"/>
      <w:bookmarkStart w:id="1378" w:name="_Toc164170484"/>
      <w:bookmarkStart w:id="1379" w:name="_Toc166223163"/>
      <w:bookmarkStart w:id="1380" w:name="_Toc166835613"/>
      <w:bookmarkStart w:id="1381" w:name="_Toc166253840"/>
      <w:bookmarkStart w:id="1382" w:name="_Toc166837443"/>
      <w:bookmarkStart w:id="1383" w:name="_Toc164150148"/>
      <w:bookmarkStart w:id="1384" w:name="_Toc164154484"/>
      <w:bookmarkStart w:id="1385" w:name="_Toc164090299"/>
      <w:r>
        <w:rPr>
          <w:rFonts w:ascii="Times New Roman"/>
          <w:color w:val="000000" w:themeColor="text1" w:themeShade="BF"/>
        </w:rPr>
        <w:t>候诊/健康询问/登记/知情告知室/区</w:t>
      </w:r>
      <w:bookmarkEnd w:id="1376"/>
      <w:bookmarkEnd w:id="1377"/>
      <w:bookmarkEnd w:id="1378"/>
      <w:bookmarkEnd w:id="1379"/>
      <w:bookmarkEnd w:id="1380"/>
      <w:bookmarkEnd w:id="1381"/>
      <w:bookmarkEnd w:id="1382"/>
      <w:bookmarkEnd w:id="1383"/>
      <w:bookmarkEnd w:id="1384"/>
      <w:bookmarkEnd w:id="1385"/>
    </w:p>
    <w:p w14:paraId="5BC927F4">
      <w:pPr>
        <w:pStyle w:val="58"/>
        <w:ind w:firstLine="420"/>
        <w:rPr>
          <w:rFonts w:ascii="Times New Roman"/>
          <w:color w:val="000000" w:themeColor="text1" w:themeShade="BF"/>
        </w:rPr>
      </w:pPr>
      <w:r>
        <w:rPr>
          <w:rFonts w:ascii="Times New Roman"/>
          <w:color w:val="000000" w:themeColor="text1"/>
          <w14:textFill>
            <w14:solidFill>
              <w14:schemeClr w14:val="tx1"/>
            </w14:solidFill>
          </w14:textFill>
        </w:rPr>
        <w:t>配备健康询问台、计算机、网络、身份证读卡器、</w:t>
      </w:r>
      <w:r>
        <w:rPr>
          <w:rFonts w:ascii="Times New Roman"/>
          <w:color w:val="000000" w:themeColor="text1" w:themeShade="BF"/>
        </w:rPr>
        <w:t>打印机、</w:t>
      </w:r>
      <w:r>
        <w:rPr>
          <w:rFonts w:ascii="Times New Roman"/>
          <w:color w:val="000000" w:themeColor="text1"/>
          <w14:textFill>
            <w14:solidFill>
              <w14:schemeClr w14:val="tx1"/>
            </w14:solidFill>
          </w14:textFill>
        </w:rPr>
        <w:t>电子核签仪、听诊器、血压计、体温计、压舌板、座椅等设备及器械。</w:t>
      </w:r>
    </w:p>
    <w:p w14:paraId="4F0E916F">
      <w:pPr>
        <w:pStyle w:val="96"/>
        <w:spacing w:before="156" w:after="156"/>
        <w:rPr>
          <w:rFonts w:ascii="Times New Roman"/>
          <w:color w:val="000000" w:themeColor="text1" w:themeShade="BF"/>
        </w:rPr>
      </w:pPr>
      <w:bookmarkStart w:id="1386" w:name="_Toc164090190"/>
      <w:bookmarkStart w:id="1387" w:name="_Toc166253841"/>
      <w:bookmarkStart w:id="1388" w:name="_Toc166223164"/>
      <w:bookmarkStart w:id="1389" w:name="_Toc166837444"/>
      <w:bookmarkStart w:id="1390" w:name="_Toc164150149"/>
      <w:bookmarkStart w:id="1391" w:name="_Toc164170485"/>
      <w:bookmarkStart w:id="1392" w:name="_Toc164178196"/>
      <w:bookmarkStart w:id="1393" w:name="_Toc164090300"/>
      <w:bookmarkStart w:id="1394" w:name="_Toc164154485"/>
      <w:bookmarkStart w:id="1395" w:name="_Toc166835614"/>
      <w:r>
        <w:rPr>
          <w:rFonts w:ascii="Times New Roman"/>
          <w:color w:val="000000" w:themeColor="text1" w:themeShade="BF"/>
        </w:rPr>
        <w:t>伤口处置室/区</w:t>
      </w:r>
      <w:bookmarkEnd w:id="1386"/>
      <w:bookmarkEnd w:id="1387"/>
      <w:bookmarkEnd w:id="1388"/>
      <w:bookmarkEnd w:id="1389"/>
      <w:bookmarkEnd w:id="1390"/>
      <w:bookmarkEnd w:id="1391"/>
      <w:bookmarkEnd w:id="1392"/>
      <w:bookmarkEnd w:id="1393"/>
      <w:bookmarkEnd w:id="1394"/>
      <w:bookmarkEnd w:id="1395"/>
    </w:p>
    <w:p w14:paraId="7CEE2856">
      <w:pPr>
        <w:widowControl/>
        <w:autoSpaceDE w:val="0"/>
        <w:autoSpaceDN w:val="0"/>
        <w:adjustRightInd/>
        <w:spacing w:line="240" w:lineRule="auto"/>
        <w:ind w:firstLine="420" w:firstLineChars="200"/>
        <w:rPr>
          <w:rFonts w:ascii="Times New Roman" w:hAnsi="Times New Roman"/>
          <w:color w:val="000000" w:themeColor="text1" w:themeShade="BF"/>
          <w:kern w:val="0"/>
          <w:szCs w:val="20"/>
        </w:rPr>
      </w:pPr>
      <w:r>
        <w:rPr>
          <w:rFonts w:ascii="Times New Roman" w:hAnsi="Times New Roman"/>
          <w:color w:val="000000" w:themeColor="text1" w:themeShade="BF"/>
          <w:kern w:val="0"/>
          <w:szCs w:val="20"/>
        </w:rPr>
        <w:t>配备伤口冲洗基本设施（独立用于伤口冲洗的高低位水池或专业的伤口清洗设备</w:t>
      </w:r>
      <w:r>
        <w:rPr>
          <w:rFonts w:hint="eastAsia" w:ascii="Times New Roman" w:hAnsi="Times New Roman"/>
          <w:color w:val="000000" w:themeColor="text1" w:themeShade="BF"/>
          <w:kern w:val="0"/>
          <w:szCs w:val="20"/>
        </w:rPr>
        <w:t>、</w:t>
      </w:r>
      <w:r>
        <w:rPr>
          <w:rFonts w:ascii="Times New Roman" w:hAnsi="Times New Roman"/>
          <w:color w:val="000000" w:themeColor="text1" w:themeShade="BF"/>
          <w:kern w:val="0"/>
          <w:szCs w:val="20"/>
        </w:rPr>
        <w:t>方便冲洗的座椅）、肥皂水（或者其他弱碱性清洁剂、专业冲洗液）、无菌生理盐水、稀释碘伏或其他具有病毒灭活效果的皮肤黏膜消毒剂和治疗盘、长镊子、大容量注射器、无菌脱脂棉球或棉签、消毒纱布、消毒缸、污物桶等伤口清创和消毒处理药剂及器械。</w:t>
      </w:r>
    </w:p>
    <w:p w14:paraId="578E635A">
      <w:pPr>
        <w:pStyle w:val="96"/>
        <w:spacing w:before="156" w:after="156"/>
        <w:rPr>
          <w:rFonts w:ascii="Times New Roman"/>
          <w:color w:val="000000" w:themeColor="text1" w:themeShade="BF"/>
        </w:rPr>
      </w:pPr>
      <w:bookmarkStart w:id="1396" w:name="_Toc164090191"/>
      <w:bookmarkStart w:id="1397" w:name="_Toc164154486"/>
      <w:bookmarkStart w:id="1398" w:name="_Toc164178197"/>
      <w:bookmarkStart w:id="1399" w:name="_Toc164090301"/>
      <w:bookmarkStart w:id="1400" w:name="_Toc166253842"/>
      <w:bookmarkStart w:id="1401" w:name="_Toc164150150"/>
      <w:bookmarkStart w:id="1402" w:name="_Toc166223165"/>
      <w:bookmarkStart w:id="1403" w:name="_Toc166835615"/>
      <w:bookmarkStart w:id="1404" w:name="_Toc166837445"/>
      <w:bookmarkStart w:id="1405" w:name="_Toc164170486"/>
      <w:r>
        <w:rPr>
          <w:rFonts w:ascii="Times New Roman"/>
          <w:color w:val="000000" w:themeColor="text1" w:themeShade="BF"/>
        </w:rPr>
        <w:t>接种室/区</w:t>
      </w:r>
      <w:bookmarkEnd w:id="1396"/>
      <w:bookmarkEnd w:id="1397"/>
      <w:bookmarkEnd w:id="1398"/>
      <w:bookmarkEnd w:id="1399"/>
      <w:bookmarkEnd w:id="1400"/>
      <w:bookmarkEnd w:id="1401"/>
      <w:bookmarkEnd w:id="1402"/>
      <w:bookmarkEnd w:id="1403"/>
      <w:bookmarkEnd w:id="1404"/>
      <w:bookmarkEnd w:id="1405"/>
    </w:p>
    <w:p w14:paraId="0C865422">
      <w:pPr>
        <w:widowControl/>
        <w:autoSpaceDE w:val="0"/>
        <w:autoSpaceDN w:val="0"/>
        <w:adjustRightInd/>
        <w:spacing w:line="240" w:lineRule="auto"/>
        <w:ind w:firstLine="420" w:firstLineChars="200"/>
        <w:rPr>
          <w:rFonts w:ascii="Times New Roman" w:hAnsi="Times New Roman"/>
          <w:color w:val="000000" w:themeColor="text1" w:themeShade="BF"/>
          <w:kern w:val="0"/>
          <w:szCs w:val="20"/>
        </w:rPr>
      </w:pPr>
      <w:r>
        <w:rPr>
          <w:rFonts w:ascii="Times New Roman" w:hAnsi="Times New Roman"/>
          <w:color w:val="000000" w:themeColor="text1" w:themeShade="BF"/>
          <w:kern w:val="0"/>
          <w:szCs w:val="20"/>
        </w:rPr>
        <w:t>每个接种台应配置计算机、网络、接种凭证打印机、扫码器、台式冰箱、</w:t>
      </w:r>
      <w:r>
        <w:rPr>
          <w:rFonts w:hint="eastAsia" w:ascii="Times New Roman" w:hAnsi="Times New Roman"/>
          <w:color w:val="000000" w:themeColor="text1" w:themeShade="BF"/>
          <w:kern w:val="0"/>
          <w:szCs w:val="20"/>
        </w:rPr>
        <w:t>体重秤、</w:t>
      </w:r>
      <w:r>
        <w:rPr>
          <w:rFonts w:ascii="Times New Roman" w:hAnsi="Times New Roman"/>
          <w:color w:val="000000" w:themeColor="text1" w:themeShade="BF"/>
          <w:kern w:val="0"/>
          <w:szCs w:val="20"/>
        </w:rPr>
        <w:t>消毒棉签、75%乙醇、手卫生设施、锐（利）器</w:t>
      </w:r>
      <w:r>
        <w:rPr>
          <w:rFonts w:ascii="宋体" w:hAnsi="宋体"/>
          <w:color w:val="000000" w:themeColor="text1" w:themeShade="BF"/>
          <w:kern w:val="0"/>
          <w:szCs w:val="20"/>
        </w:rPr>
        <w:t>盒、医疗废物桶、非医疗废物桶等。</w:t>
      </w:r>
      <w:r>
        <w:rPr>
          <w:rFonts w:ascii="Times New Roman"/>
          <w:color w:val="000000" w:themeColor="text1"/>
          <w14:textFill>
            <w14:solidFill>
              <w14:schemeClr w14:val="tx1"/>
            </w14:solidFill>
          </w14:textFill>
        </w:rPr>
        <w:t>接种台有醒目的疫苗名称标</w:t>
      </w:r>
      <w:r>
        <w:rPr>
          <w:rFonts w:hAnsi="宋体"/>
          <w:color w:val="000000" w:themeColor="text1"/>
          <w14:textFill>
            <w14:solidFill>
              <w14:schemeClr w14:val="tx1"/>
            </w14:solidFill>
          </w14:textFill>
        </w:rPr>
        <w:t>牌</w:t>
      </w:r>
      <w:r>
        <w:rPr>
          <w:rFonts w:hint="eastAsia" w:hAnsi="宋体"/>
          <w:color w:val="000000" w:themeColor="text1"/>
          <w14:textFill>
            <w14:solidFill>
              <w14:schemeClr w14:val="tx1"/>
            </w14:solidFill>
          </w14:textFill>
        </w:rPr>
        <w:t>，</w:t>
      </w:r>
      <w:r>
        <w:rPr>
          <w:rFonts w:ascii="宋体" w:hAnsi="宋体"/>
          <w:color w:val="000000" w:themeColor="text1" w:themeShade="BF"/>
          <w:kern w:val="0"/>
          <w:szCs w:val="20"/>
        </w:rPr>
        <w:t>“三查七对一验证”提示</w:t>
      </w:r>
      <w:r>
        <w:rPr>
          <w:rFonts w:ascii="Times New Roman" w:hAnsi="Times New Roman"/>
          <w:color w:val="000000" w:themeColor="text1" w:themeShade="BF"/>
          <w:kern w:val="0"/>
          <w:szCs w:val="20"/>
        </w:rPr>
        <w:t>牌。</w:t>
      </w:r>
    </w:p>
    <w:p w14:paraId="18564710">
      <w:pPr>
        <w:pStyle w:val="96"/>
        <w:spacing w:before="156" w:after="156"/>
        <w:rPr>
          <w:rFonts w:ascii="Times New Roman"/>
          <w:color w:val="000000" w:themeColor="text1" w:themeShade="BF"/>
        </w:rPr>
      </w:pPr>
      <w:bookmarkStart w:id="1406" w:name="_Toc164090302"/>
      <w:bookmarkStart w:id="1407" w:name="_Toc164090192"/>
      <w:bookmarkStart w:id="1408" w:name="_Toc164150151"/>
      <w:bookmarkStart w:id="1409" w:name="_Toc166253843"/>
      <w:bookmarkStart w:id="1410" w:name="_Toc166223166"/>
      <w:bookmarkStart w:id="1411" w:name="_Toc166835616"/>
      <w:bookmarkStart w:id="1412" w:name="_Toc166837446"/>
      <w:bookmarkStart w:id="1413" w:name="_Toc164170487"/>
      <w:bookmarkStart w:id="1414" w:name="_Toc164178198"/>
      <w:bookmarkStart w:id="1415" w:name="_Toc164154487"/>
      <w:r>
        <w:rPr>
          <w:rFonts w:ascii="Times New Roman"/>
          <w:color w:val="000000" w:themeColor="text1" w:themeShade="BF"/>
        </w:rPr>
        <w:t>留观室/区</w:t>
      </w:r>
      <w:bookmarkEnd w:id="1406"/>
      <w:bookmarkEnd w:id="1407"/>
      <w:bookmarkEnd w:id="1408"/>
      <w:bookmarkEnd w:id="1409"/>
      <w:bookmarkEnd w:id="1410"/>
      <w:bookmarkEnd w:id="1411"/>
      <w:bookmarkEnd w:id="1412"/>
      <w:bookmarkEnd w:id="1413"/>
      <w:bookmarkEnd w:id="1414"/>
      <w:bookmarkEnd w:id="1415"/>
    </w:p>
    <w:p w14:paraId="40F0F8D2">
      <w:pPr>
        <w:widowControl/>
        <w:autoSpaceDE w:val="0"/>
        <w:autoSpaceDN w:val="0"/>
        <w:adjustRightInd/>
        <w:spacing w:line="240" w:lineRule="auto"/>
        <w:ind w:firstLine="420" w:firstLineChars="200"/>
        <w:rPr>
          <w:rFonts w:ascii="Times New Roman" w:hAnsi="Times New Roman"/>
          <w:color w:val="000000" w:themeColor="text1" w:themeShade="BF"/>
          <w:kern w:val="0"/>
          <w:szCs w:val="20"/>
        </w:rPr>
      </w:pPr>
      <w:r>
        <w:rPr>
          <w:rFonts w:ascii="Times New Roman" w:hAnsi="Times New Roman"/>
          <w:color w:val="000000" w:themeColor="text1" w:themeShade="BF"/>
          <w:kern w:val="0"/>
          <w:szCs w:val="20"/>
        </w:rPr>
        <w:t>配备座椅和健康宣教用设备。</w:t>
      </w:r>
    </w:p>
    <w:p w14:paraId="7786591E">
      <w:pPr>
        <w:pStyle w:val="96"/>
        <w:spacing w:before="156" w:after="156"/>
        <w:rPr>
          <w:rFonts w:ascii="Times New Roman"/>
          <w:color w:val="000000" w:themeColor="text1" w:themeShade="BF"/>
        </w:rPr>
      </w:pPr>
      <w:bookmarkStart w:id="1416" w:name="_Toc166837447"/>
      <w:bookmarkStart w:id="1417" w:name="_Toc166835617"/>
      <w:bookmarkStart w:id="1418" w:name="_Toc164150152"/>
      <w:bookmarkStart w:id="1419" w:name="_Toc166223167"/>
      <w:bookmarkStart w:id="1420" w:name="_Toc164170488"/>
      <w:bookmarkStart w:id="1421" w:name="_Toc164090193"/>
      <w:bookmarkStart w:id="1422" w:name="_Toc166253844"/>
      <w:bookmarkStart w:id="1423" w:name="_Toc164090303"/>
      <w:bookmarkStart w:id="1424" w:name="_Toc164154488"/>
      <w:bookmarkStart w:id="1425" w:name="_Toc164178199"/>
      <w:r>
        <w:rPr>
          <w:rFonts w:ascii="Times New Roman"/>
          <w:color w:val="000000" w:themeColor="text1" w:themeShade="BF"/>
        </w:rPr>
        <w:t>疑似预防接种异常反应处置室/区</w:t>
      </w:r>
      <w:bookmarkEnd w:id="1416"/>
      <w:bookmarkEnd w:id="1417"/>
      <w:bookmarkEnd w:id="1418"/>
      <w:bookmarkEnd w:id="1419"/>
      <w:bookmarkEnd w:id="1420"/>
      <w:bookmarkEnd w:id="1421"/>
      <w:bookmarkEnd w:id="1422"/>
      <w:bookmarkEnd w:id="1423"/>
      <w:bookmarkEnd w:id="1424"/>
      <w:bookmarkEnd w:id="1425"/>
    </w:p>
    <w:p w14:paraId="7815C304">
      <w:pPr>
        <w:widowControl/>
        <w:autoSpaceDE w:val="0"/>
        <w:autoSpaceDN w:val="0"/>
        <w:adjustRightInd/>
        <w:spacing w:line="240" w:lineRule="auto"/>
        <w:ind w:firstLine="420" w:firstLineChars="200"/>
        <w:rPr>
          <w:rFonts w:ascii="Times New Roman" w:hAnsi="Times New Roman"/>
          <w:color w:val="000000" w:themeColor="text1" w:themeShade="BF"/>
          <w:kern w:val="0"/>
          <w:szCs w:val="20"/>
        </w:rPr>
      </w:pPr>
      <w:r>
        <w:rPr>
          <w:rFonts w:ascii="Times New Roman" w:hAnsi="Times New Roman"/>
          <w:color w:val="000000" w:themeColor="text1" w:themeShade="BF"/>
          <w:kern w:val="0"/>
          <w:szCs w:val="20"/>
        </w:rPr>
        <w:t>配备</w:t>
      </w:r>
      <w:r>
        <w:rPr>
          <w:rFonts w:ascii="Times New Roman"/>
          <w:color w:val="000000" w:themeColor="text1"/>
          <w14:textFill>
            <w14:solidFill>
              <w14:schemeClr w14:val="tx1"/>
            </w14:solidFill>
          </w14:textFill>
        </w:rPr>
        <w:t>体检台、器械橱、体温计、压舌板、血压计、听诊器、</w:t>
      </w:r>
      <w:r>
        <w:rPr>
          <w:rFonts w:hint="eastAsia" w:ascii="Times New Roman"/>
          <w:color w:val="000000" w:themeColor="text1"/>
          <w14:textFill>
            <w14:solidFill>
              <w14:schemeClr w14:val="tx1"/>
            </w14:solidFill>
          </w14:textFill>
        </w:rPr>
        <w:t>注射器、</w:t>
      </w:r>
      <w:r>
        <w:rPr>
          <w:rFonts w:ascii="Times New Roman"/>
          <w:color w:val="000000" w:themeColor="text1"/>
          <w14:textFill>
            <w14:solidFill>
              <w14:schemeClr w14:val="tx1"/>
            </w14:solidFill>
          </w14:textFill>
        </w:rPr>
        <w:t>消毒棉签、锐（利）器盒、1:1000肾上腺素、葡萄糖、生理盐水、地塞米松、抗过敏药和氧源等急救药械</w:t>
      </w:r>
      <w:r>
        <w:rPr>
          <w:rFonts w:hint="eastAsia" w:ascii="Times New Roman"/>
          <w:color w:val="000000" w:themeColor="text1"/>
          <w14:textFill>
            <w14:solidFill>
              <w14:schemeClr w14:val="tx1"/>
            </w14:solidFill>
          </w14:textFill>
        </w:rPr>
        <w:t>。</w:t>
      </w:r>
    </w:p>
    <w:p w14:paraId="75E758AD">
      <w:pPr>
        <w:pStyle w:val="96"/>
        <w:spacing w:before="156" w:after="156"/>
        <w:rPr>
          <w:rFonts w:ascii="Times New Roman"/>
          <w:color w:val="000000" w:themeColor="text1" w:themeShade="BF"/>
        </w:rPr>
      </w:pPr>
      <w:bookmarkStart w:id="1426" w:name="_Toc166253845"/>
      <w:bookmarkStart w:id="1427" w:name="_Toc166837448"/>
      <w:bookmarkStart w:id="1428" w:name="_Toc164090194"/>
      <w:bookmarkStart w:id="1429" w:name="_Toc164150153"/>
      <w:bookmarkStart w:id="1430" w:name="_Toc164154489"/>
      <w:bookmarkStart w:id="1431" w:name="_Toc164170489"/>
      <w:bookmarkStart w:id="1432" w:name="_Toc166223168"/>
      <w:bookmarkStart w:id="1433" w:name="_Toc166835618"/>
      <w:bookmarkStart w:id="1434" w:name="_Toc164090304"/>
      <w:bookmarkStart w:id="1435" w:name="_Toc164178200"/>
      <w:r>
        <w:rPr>
          <w:rFonts w:ascii="Times New Roman"/>
          <w:color w:val="000000" w:themeColor="text1" w:themeShade="BF"/>
        </w:rPr>
        <w:t>冷链室/区</w:t>
      </w:r>
      <w:bookmarkEnd w:id="1426"/>
      <w:bookmarkEnd w:id="1427"/>
      <w:bookmarkEnd w:id="1428"/>
      <w:bookmarkEnd w:id="1429"/>
      <w:bookmarkEnd w:id="1430"/>
      <w:bookmarkEnd w:id="1431"/>
      <w:bookmarkEnd w:id="1432"/>
      <w:bookmarkEnd w:id="1433"/>
      <w:bookmarkEnd w:id="1434"/>
      <w:bookmarkEnd w:id="1435"/>
    </w:p>
    <w:p w14:paraId="4741D82A">
      <w:pPr>
        <w:pStyle w:val="58"/>
        <w:ind w:firstLine="420"/>
        <w:rPr>
          <w:rFonts w:ascii="Times New Roman"/>
          <w:color w:val="000000" w:themeColor="text1" w:themeShade="BF"/>
        </w:rPr>
      </w:pPr>
      <w:r>
        <w:rPr>
          <w:rFonts w:ascii="Times New Roman"/>
          <w:color w:val="000000" w:themeColor="text1"/>
          <w14:textFill>
            <w14:solidFill>
              <w14:schemeClr w14:val="tx1"/>
            </w14:solidFill>
          </w14:textFill>
        </w:rPr>
        <w:t>配备至少1台医用冰箱、温度自动监测及外接不间断供电等设备设施，并配备计算机、网络、扫码器等设备。</w:t>
      </w:r>
    </w:p>
    <w:p w14:paraId="440E8BB7">
      <w:pPr>
        <w:pStyle w:val="67"/>
        <w:spacing w:before="156" w:after="156"/>
        <w:ind w:left="0"/>
        <w:rPr>
          <w:rFonts w:ascii="Times New Roman"/>
          <w:color w:val="000000" w:themeColor="text1" w:themeShade="BF"/>
        </w:rPr>
      </w:pPr>
      <w:bookmarkStart w:id="1436" w:name="_Toc166837449"/>
      <w:bookmarkStart w:id="1437" w:name="_Toc164083690"/>
      <w:bookmarkStart w:id="1438" w:name="_Toc164089167"/>
      <w:bookmarkStart w:id="1439" w:name="_Toc164089753"/>
      <w:bookmarkStart w:id="1440" w:name="_Toc164090305"/>
      <w:bookmarkStart w:id="1441" w:name="_Toc164084692"/>
      <w:bookmarkStart w:id="1442" w:name="_Toc164090195"/>
      <w:bookmarkStart w:id="1443" w:name="_Toc164150154"/>
      <w:bookmarkStart w:id="1444" w:name="_Toc164170490"/>
      <w:bookmarkStart w:id="1445" w:name="_Toc164178201"/>
      <w:bookmarkStart w:id="1446" w:name="_Toc166223169"/>
      <w:bookmarkStart w:id="1447" w:name="_Toc164089899"/>
      <w:bookmarkStart w:id="1448" w:name="_Toc166253846"/>
      <w:bookmarkStart w:id="1449" w:name="_Toc166835619"/>
      <w:bookmarkStart w:id="1450" w:name="_Toc164154490"/>
      <w:r>
        <w:rPr>
          <w:rFonts w:ascii="Times New Roman"/>
          <w:color w:val="000000" w:themeColor="text1" w:themeShade="BF"/>
        </w:rPr>
        <w:t>人员要求</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7D12B7C1">
      <w:pPr>
        <w:pStyle w:val="96"/>
        <w:spacing w:before="156" w:after="156"/>
        <w:rPr>
          <w:rFonts w:ascii="Times New Roman"/>
          <w:color w:val="000000" w:themeColor="text1" w:themeShade="BF"/>
        </w:rPr>
      </w:pPr>
      <w:bookmarkStart w:id="1451" w:name="_Toc166223170"/>
      <w:bookmarkStart w:id="1452" w:name="_Toc166253847"/>
      <w:bookmarkStart w:id="1453" w:name="_Toc164150155"/>
      <w:bookmarkStart w:id="1454" w:name="_Toc166835620"/>
      <w:bookmarkStart w:id="1455" w:name="_Toc166837450"/>
      <w:bookmarkStart w:id="1456" w:name="_Toc164090306"/>
      <w:bookmarkStart w:id="1457" w:name="_Toc164154491"/>
      <w:bookmarkStart w:id="1458" w:name="_Toc164170491"/>
      <w:bookmarkStart w:id="1459" w:name="_Toc164090196"/>
      <w:bookmarkStart w:id="1460" w:name="_Toc164178202"/>
      <w:r>
        <w:rPr>
          <w:rFonts w:ascii="Times New Roman"/>
          <w:color w:val="000000" w:themeColor="text1" w:themeShade="BF"/>
        </w:rPr>
        <w:t>人员配置</w:t>
      </w:r>
      <w:bookmarkEnd w:id="1451"/>
      <w:bookmarkEnd w:id="1452"/>
      <w:bookmarkEnd w:id="1453"/>
      <w:bookmarkEnd w:id="1454"/>
      <w:bookmarkEnd w:id="1455"/>
      <w:bookmarkEnd w:id="1456"/>
      <w:bookmarkEnd w:id="1457"/>
      <w:bookmarkEnd w:id="1458"/>
      <w:bookmarkEnd w:id="1459"/>
      <w:bookmarkEnd w:id="1460"/>
    </w:p>
    <w:p w14:paraId="522063DE">
      <w:pPr>
        <w:widowControl/>
        <w:adjustRightInd/>
        <w:spacing w:before="156" w:beforeLines="50" w:after="156" w:afterLines="50" w:line="240" w:lineRule="auto"/>
        <w:ind w:firstLine="420" w:firstLineChars="200"/>
        <w:rPr>
          <w:rFonts w:ascii="Times New Roman" w:hAnsi="Times New Roman"/>
          <w:color w:val="000000" w:themeColor="text1" w:themeShade="BF"/>
          <w:kern w:val="0"/>
          <w:szCs w:val="20"/>
        </w:rPr>
      </w:pPr>
      <w:r>
        <w:rPr>
          <w:rFonts w:ascii="Times New Roman" w:hAnsi="Times New Roman"/>
          <w:color w:val="000000" w:themeColor="text1" w:themeShade="BF"/>
          <w:kern w:val="0"/>
          <w:szCs w:val="20"/>
        </w:rPr>
        <w:t>每次开诊时，至少</w:t>
      </w:r>
      <w:r>
        <w:rPr>
          <w:rFonts w:hint="eastAsia" w:ascii="Times New Roman" w:hAnsi="Times New Roman"/>
          <w:color w:val="000000" w:themeColor="text1" w:themeShade="BF"/>
          <w:kern w:val="0"/>
          <w:szCs w:val="20"/>
        </w:rPr>
        <w:t>配备</w:t>
      </w:r>
      <w:r>
        <w:rPr>
          <w:rFonts w:ascii="Times New Roman" w:hAnsi="Times New Roman"/>
          <w:color w:val="000000" w:themeColor="text1" w:themeShade="BF"/>
          <w:kern w:val="0"/>
          <w:szCs w:val="20"/>
        </w:rPr>
        <w:t>2名工作人员，负责健康询问、登记、知情告知、伤口处理、接种、留观、疑似预防接种异常反应处置。应有专（兼）职工作人员从事疫苗、生物制品管理和冷链监测。</w:t>
      </w:r>
    </w:p>
    <w:p w14:paraId="3FA4261F">
      <w:pPr>
        <w:pStyle w:val="96"/>
        <w:spacing w:before="156" w:after="156"/>
        <w:rPr>
          <w:rFonts w:ascii="Times New Roman"/>
          <w:color w:val="000000" w:themeColor="text1" w:themeShade="BF"/>
        </w:rPr>
      </w:pPr>
      <w:bookmarkStart w:id="1461" w:name="_Toc164090307"/>
      <w:bookmarkStart w:id="1462" w:name="_Toc164150156"/>
      <w:bookmarkStart w:id="1463" w:name="_Toc164154492"/>
      <w:bookmarkStart w:id="1464" w:name="_Toc164170492"/>
      <w:bookmarkStart w:id="1465" w:name="_Toc164178203"/>
      <w:bookmarkStart w:id="1466" w:name="_Toc164090197"/>
      <w:bookmarkStart w:id="1467" w:name="_Toc166253848"/>
      <w:bookmarkStart w:id="1468" w:name="_Toc166835621"/>
      <w:bookmarkStart w:id="1469" w:name="_Toc166223171"/>
      <w:bookmarkStart w:id="1470" w:name="_Toc166837451"/>
      <w:r>
        <w:rPr>
          <w:rFonts w:ascii="Times New Roman"/>
          <w:color w:val="000000" w:themeColor="text1" w:themeShade="BF"/>
        </w:rPr>
        <w:t>资格</w:t>
      </w:r>
      <w:bookmarkEnd w:id="1461"/>
      <w:bookmarkEnd w:id="1462"/>
      <w:bookmarkEnd w:id="1463"/>
      <w:bookmarkEnd w:id="1464"/>
      <w:bookmarkEnd w:id="1465"/>
      <w:bookmarkEnd w:id="1466"/>
      <w:bookmarkEnd w:id="1467"/>
      <w:bookmarkEnd w:id="1468"/>
      <w:bookmarkEnd w:id="1469"/>
      <w:bookmarkEnd w:id="1470"/>
    </w:p>
    <w:p w14:paraId="17575160">
      <w:pPr>
        <w:widowControl/>
        <w:adjustRightInd/>
        <w:spacing w:before="156" w:beforeLines="50" w:after="156" w:afterLines="50" w:line="240" w:lineRule="auto"/>
        <w:ind w:firstLine="420" w:firstLineChars="200"/>
        <w:rPr>
          <w:rFonts w:ascii="Times New Roman" w:hAnsi="Times New Roman"/>
          <w:color w:val="000000" w:themeColor="text1" w:themeShade="BF"/>
          <w:kern w:val="0"/>
          <w:szCs w:val="20"/>
        </w:rPr>
      </w:pPr>
      <w:r>
        <w:rPr>
          <w:rFonts w:ascii="Times New Roman" w:hAnsi="Times New Roman"/>
          <w:color w:val="000000" w:themeColor="text1" w:themeShade="BF"/>
          <w:kern w:val="0"/>
          <w:szCs w:val="20"/>
        </w:rPr>
        <w:t>从事登记、知情告知、接种等工作人员应具备执业医师、执业助理医师、护士或者乡镇执业助理医师资格。从事伤口处置、健康询问、留观和疑似预防接种异常反应处置等工作人员应具备执业医师或执业助理医师资格。从事疫苗管理、冷链监测等工作人员应具备执业医（药）师、执业助理医（药）师、护（药）士资格。</w:t>
      </w:r>
    </w:p>
    <w:p w14:paraId="0BD988C0">
      <w:pPr>
        <w:pStyle w:val="96"/>
        <w:spacing w:before="156" w:after="156"/>
        <w:rPr>
          <w:rFonts w:ascii="Times New Roman"/>
          <w:color w:val="000000" w:themeColor="text1" w:themeShade="BF"/>
        </w:rPr>
      </w:pPr>
      <w:bookmarkStart w:id="1471" w:name="_Toc164090308"/>
      <w:bookmarkStart w:id="1472" w:name="_Toc164150157"/>
      <w:bookmarkStart w:id="1473" w:name="_Toc164154493"/>
      <w:bookmarkStart w:id="1474" w:name="_Toc164170493"/>
      <w:bookmarkStart w:id="1475" w:name="_Toc166223172"/>
      <w:bookmarkStart w:id="1476" w:name="_Toc164090198"/>
      <w:bookmarkStart w:id="1477" w:name="_Toc166253849"/>
      <w:bookmarkStart w:id="1478" w:name="_Toc166835622"/>
      <w:bookmarkStart w:id="1479" w:name="_Toc166837452"/>
      <w:bookmarkStart w:id="1480" w:name="_Toc164178204"/>
      <w:r>
        <w:rPr>
          <w:rFonts w:ascii="Times New Roman"/>
          <w:color w:val="000000" w:themeColor="text1" w:themeShade="BF"/>
        </w:rPr>
        <w:t>资质</w:t>
      </w:r>
      <w:bookmarkEnd w:id="1471"/>
      <w:bookmarkEnd w:id="1472"/>
      <w:bookmarkEnd w:id="1473"/>
      <w:bookmarkEnd w:id="1474"/>
      <w:bookmarkEnd w:id="1475"/>
      <w:bookmarkEnd w:id="1476"/>
      <w:bookmarkEnd w:id="1477"/>
      <w:bookmarkEnd w:id="1478"/>
      <w:bookmarkEnd w:id="1479"/>
      <w:bookmarkEnd w:id="1480"/>
    </w:p>
    <w:p w14:paraId="335FDC0F">
      <w:pPr>
        <w:widowControl/>
        <w:adjustRightInd/>
        <w:spacing w:before="156" w:beforeLines="50" w:after="156" w:afterLines="50" w:line="240" w:lineRule="auto"/>
        <w:ind w:firstLine="420" w:firstLineChars="200"/>
        <w:rPr>
          <w:rFonts w:ascii="Times New Roman" w:hAnsi="Times New Roman"/>
          <w:color w:val="000000" w:themeColor="text1" w:themeShade="BF"/>
          <w:kern w:val="0"/>
          <w:szCs w:val="20"/>
        </w:rPr>
      </w:pPr>
      <w:r>
        <w:rPr>
          <w:rFonts w:ascii="Times New Roman" w:hAnsi="Times New Roman"/>
          <w:color w:val="000000" w:themeColor="text1" w:themeShade="BF"/>
          <w:kern w:val="0"/>
          <w:szCs w:val="20"/>
        </w:rPr>
        <w:t>从事健康询问、登记、知情告知、伤口处理、接种、留观、疑似预防接种异常反应处置等工作人员应经县级卫生健康主管部门组织的上岗前教育培训，考核合格并取</w:t>
      </w:r>
      <w:r>
        <w:rPr>
          <w:rFonts w:ascii="Times New Roman" w:hAnsi="Times New Roman"/>
          <w:color w:val="000000" w:themeColor="text1"/>
          <w:kern w:val="0"/>
          <w:szCs w:val="20"/>
          <w14:textFill>
            <w14:solidFill>
              <w14:schemeClr w14:val="tx1"/>
            </w14:solidFill>
          </w14:textFill>
        </w:rPr>
        <w:t>得</w:t>
      </w:r>
      <w:r>
        <w:rPr>
          <w:rFonts w:hint="eastAsia" w:ascii="Times New Roman" w:hAnsi="Times New Roman"/>
          <w:color w:val="000000" w:themeColor="text1"/>
          <w:kern w:val="0"/>
          <w:szCs w:val="20"/>
          <w14:textFill>
            <w14:solidFill>
              <w14:schemeClr w14:val="tx1"/>
            </w14:solidFill>
          </w14:textFill>
        </w:rPr>
        <w:t>狂犬病暴露预防处置上岗证</w:t>
      </w:r>
      <w:r>
        <w:rPr>
          <w:rFonts w:ascii="Times New Roman" w:hAnsi="Times New Roman"/>
          <w:color w:val="000000" w:themeColor="text1"/>
          <w:kern w:val="0"/>
          <w:szCs w:val="20"/>
          <w14:textFill>
            <w14:solidFill>
              <w14:schemeClr w14:val="tx1"/>
            </w14:solidFill>
          </w14:textFill>
        </w:rPr>
        <w:t>。</w:t>
      </w:r>
      <w:r>
        <w:rPr>
          <w:rFonts w:ascii="Times New Roman" w:hAnsi="Times New Roman"/>
          <w:color w:val="000000" w:themeColor="text1" w:themeShade="BF"/>
          <w:kern w:val="0"/>
          <w:szCs w:val="20"/>
        </w:rPr>
        <w:t>预防接种工作人员和接种门诊负责人应接受县级卫生健康主管部门组织的每年不少于1次培训教育并考核合格。</w:t>
      </w:r>
    </w:p>
    <w:p w14:paraId="7F89E8A9">
      <w:pPr>
        <w:pStyle w:val="67"/>
        <w:spacing w:before="156" w:after="156"/>
        <w:ind w:left="0"/>
        <w:rPr>
          <w:rFonts w:ascii="Times New Roman"/>
          <w:color w:val="000000" w:themeColor="text1"/>
          <w14:textFill>
            <w14:solidFill>
              <w14:schemeClr w14:val="tx1"/>
            </w14:solidFill>
          </w14:textFill>
        </w:rPr>
      </w:pPr>
      <w:bookmarkStart w:id="1481" w:name="_Toc166223173"/>
      <w:bookmarkStart w:id="1482" w:name="_Toc164178205"/>
      <w:bookmarkStart w:id="1483" w:name="_Toc166835623"/>
      <w:bookmarkStart w:id="1484" w:name="_Toc166837453"/>
      <w:bookmarkStart w:id="1485" w:name="_Toc166253850"/>
      <w:r>
        <w:rPr>
          <w:rFonts w:ascii="Times New Roman"/>
          <w:color w:val="000000" w:themeColor="text1"/>
          <w14:textFill>
            <w14:solidFill>
              <w14:schemeClr w14:val="tx1"/>
            </w14:solidFill>
          </w14:textFill>
        </w:rPr>
        <w:t>信息系统管理要求</w:t>
      </w:r>
      <w:bookmarkEnd w:id="1481"/>
      <w:bookmarkEnd w:id="1482"/>
      <w:bookmarkEnd w:id="1483"/>
      <w:bookmarkEnd w:id="1484"/>
      <w:bookmarkEnd w:id="1485"/>
    </w:p>
    <w:p w14:paraId="68AFAAF4">
      <w:pPr>
        <w:widowControl/>
        <w:autoSpaceDE w:val="0"/>
        <w:autoSpaceDN w:val="0"/>
        <w:adjustRightInd/>
        <w:spacing w:line="24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kern w:val="0"/>
          <w:szCs w:val="20"/>
          <w14:textFill>
            <w14:solidFill>
              <w14:schemeClr w14:val="tx1"/>
            </w14:solidFill>
          </w14:textFill>
        </w:rPr>
        <w:t>安装并使用江苏省预防接种综合服务管理信息系统，用于建立电子预防接种档案、登记疫苗接种信息、监控冷链设备与疫苗温度，管理疫苗出入库信息以及电子化健康询问、</w:t>
      </w:r>
      <w:r>
        <w:rPr>
          <w:rFonts w:hint="eastAsia" w:ascii="Times New Roman" w:hAnsi="Times New Roman"/>
          <w:color w:val="000000" w:themeColor="text1"/>
          <w:kern w:val="0"/>
          <w:szCs w:val="20"/>
          <w14:textFill>
            <w14:solidFill>
              <w14:schemeClr w14:val="tx1"/>
            </w14:solidFill>
          </w14:textFill>
        </w:rPr>
        <w:t>登记</w:t>
      </w:r>
      <w:r>
        <w:rPr>
          <w:rFonts w:ascii="Times New Roman" w:hAnsi="Times New Roman"/>
          <w:color w:val="000000" w:themeColor="text1"/>
          <w:kern w:val="0"/>
          <w:szCs w:val="20"/>
          <w14:textFill>
            <w14:solidFill>
              <w14:schemeClr w14:val="tx1"/>
            </w14:solidFill>
          </w14:textFill>
        </w:rPr>
        <w:t>、知情告知、</w:t>
      </w:r>
      <w:r>
        <w:rPr>
          <w:rFonts w:hint="eastAsia" w:ascii="Times New Roman" w:hAnsi="Times New Roman"/>
          <w:color w:val="000000" w:themeColor="text1"/>
          <w:kern w:val="0"/>
          <w:szCs w:val="20"/>
          <w14:textFill>
            <w14:solidFill>
              <w14:schemeClr w14:val="tx1"/>
            </w14:solidFill>
          </w14:textFill>
        </w:rPr>
        <w:t>伤口处置、</w:t>
      </w:r>
      <w:r>
        <w:rPr>
          <w:rFonts w:ascii="Times New Roman" w:hAnsi="Times New Roman"/>
          <w:color w:val="000000" w:themeColor="text1"/>
          <w:kern w:val="0"/>
          <w:szCs w:val="20"/>
          <w14:textFill>
            <w14:solidFill>
              <w14:schemeClr w14:val="tx1"/>
            </w14:solidFill>
          </w14:textFill>
        </w:rPr>
        <w:t>扫码接种、自助留观等。</w:t>
      </w:r>
    </w:p>
    <w:p w14:paraId="363E53BE">
      <w:pPr>
        <w:pStyle w:val="67"/>
        <w:spacing w:before="156" w:after="156"/>
        <w:ind w:left="0"/>
        <w:rPr>
          <w:rFonts w:ascii="Times New Roman"/>
          <w:color w:val="000000" w:themeColor="text1"/>
          <w14:textFill>
            <w14:solidFill>
              <w14:schemeClr w14:val="tx1"/>
            </w14:solidFill>
          </w14:textFill>
        </w:rPr>
      </w:pPr>
      <w:bookmarkStart w:id="1486" w:name="_Toc164178206"/>
      <w:bookmarkStart w:id="1487" w:name="_Toc166223174"/>
      <w:bookmarkStart w:id="1488" w:name="_Toc166253851"/>
      <w:bookmarkStart w:id="1489" w:name="_Toc166835624"/>
      <w:bookmarkStart w:id="1490" w:name="_Toc166837454"/>
      <w:bookmarkStart w:id="1491" w:name="_Toc164083695"/>
      <w:bookmarkStart w:id="1492" w:name="_Toc164089755"/>
      <w:bookmarkStart w:id="1493" w:name="_Toc164084694"/>
      <w:bookmarkStart w:id="1494" w:name="_Toc164089169"/>
      <w:bookmarkStart w:id="1495" w:name="_Toc164089901"/>
      <w:bookmarkStart w:id="1496" w:name="_Toc164150159"/>
      <w:bookmarkStart w:id="1497" w:name="_Toc164154495"/>
      <w:bookmarkStart w:id="1498" w:name="_Toc164170495"/>
      <w:bookmarkStart w:id="1499" w:name="_Toc164090200"/>
      <w:bookmarkStart w:id="1500" w:name="_Toc164090310"/>
      <w:r>
        <w:rPr>
          <w:rFonts w:ascii="Times New Roman"/>
          <w:color w:val="000000" w:themeColor="text1"/>
          <w14:textFill>
            <w14:solidFill>
              <w14:schemeClr w14:val="tx1"/>
            </w14:solidFill>
          </w14:textFill>
        </w:rPr>
        <w:t>信息公示</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14:paraId="101F7898">
      <w:pPr>
        <w:pStyle w:val="96"/>
        <w:spacing w:before="156" w:after="156"/>
        <w:rPr>
          <w:rFonts w:ascii="Times New Roman"/>
          <w:color w:val="000000" w:themeColor="text1" w:themeShade="BF"/>
        </w:rPr>
      </w:pPr>
      <w:bookmarkStart w:id="1501" w:name="_Toc164090201"/>
      <w:bookmarkStart w:id="1502" w:name="_Toc164090311"/>
      <w:bookmarkStart w:id="1503" w:name="_Toc164150160"/>
      <w:bookmarkStart w:id="1504" w:name="_Toc164178207"/>
      <w:bookmarkStart w:id="1505" w:name="_Toc166253852"/>
      <w:bookmarkStart w:id="1506" w:name="_Toc166223175"/>
      <w:bookmarkStart w:id="1507" w:name="_Toc166835625"/>
      <w:bookmarkStart w:id="1508" w:name="_Toc164154496"/>
      <w:bookmarkStart w:id="1509" w:name="_Toc164170496"/>
      <w:bookmarkStart w:id="1510" w:name="_Toc166837455"/>
      <w:r>
        <w:rPr>
          <w:rFonts w:ascii="Times New Roman"/>
          <w:color w:val="000000" w:themeColor="text1" w:themeShade="BF"/>
        </w:rPr>
        <w:t>整体情况</w:t>
      </w:r>
      <w:bookmarkEnd w:id="1501"/>
      <w:bookmarkEnd w:id="1502"/>
      <w:bookmarkEnd w:id="1503"/>
      <w:bookmarkEnd w:id="1504"/>
      <w:bookmarkEnd w:id="1505"/>
      <w:bookmarkEnd w:id="1506"/>
      <w:bookmarkEnd w:id="1507"/>
      <w:bookmarkEnd w:id="1508"/>
      <w:bookmarkEnd w:id="1509"/>
      <w:bookmarkEnd w:id="1510"/>
    </w:p>
    <w:p w14:paraId="22620728">
      <w:pPr>
        <w:widowControl/>
        <w:autoSpaceDE w:val="0"/>
        <w:autoSpaceDN w:val="0"/>
        <w:adjustRightInd/>
        <w:spacing w:line="240" w:lineRule="auto"/>
        <w:ind w:firstLine="420" w:firstLineChars="200"/>
        <w:rPr>
          <w:rFonts w:ascii="Times New Roman" w:hAnsi="Times New Roman"/>
          <w:color w:val="000000" w:themeColor="text1" w:themeShade="BF"/>
        </w:rPr>
      </w:pPr>
      <w:r>
        <w:rPr>
          <w:rFonts w:ascii="Times New Roman" w:hAnsi="Times New Roman"/>
          <w:color w:val="000000" w:themeColor="text1" w:themeShade="BF"/>
          <w:kern w:val="0"/>
          <w:szCs w:val="20"/>
        </w:rPr>
        <w:t>接种</w:t>
      </w:r>
      <w:r>
        <w:rPr>
          <w:rFonts w:hint="eastAsia" w:ascii="Times New Roman" w:hAnsi="Times New Roman"/>
          <w:color w:val="000000" w:themeColor="text1" w:themeShade="BF"/>
          <w:kern w:val="0"/>
          <w:szCs w:val="20"/>
        </w:rPr>
        <w:t>门诊</w:t>
      </w:r>
      <w:r>
        <w:rPr>
          <w:rFonts w:ascii="Times New Roman" w:hAnsi="Times New Roman"/>
          <w:color w:val="000000" w:themeColor="text1" w:themeShade="BF"/>
          <w:kern w:val="0"/>
          <w:szCs w:val="20"/>
        </w:rPr>
        <w:t>的资质、服务项目、服务时间、联系方式、咨询及投诉举报电话等。</w:t>
      </w:r>
    </w:p>
    <w:p w14:paraId="25B95C41">
      <w:pPr>
        <w:pStyle w:val="96"/>
        <w:spacing w:before="156" w:after="156"/>
        <w:rPr>
          <w:rFonts w:ascii="Times New Roman"/>
          <w:color w:val="000000" w:themeColor="text1" w:themeShade="BF"/>
        </w:rPr>
      </w:pPr>
      <w:bookmarkStart w:id="1511" w:name="_Toc164090312"/>
      <w:bookmarkStart w:id="1512" w:name="_Toc164090202"/>
      <w:bookmarkStart w:id="1513" w:name="_Toc164150161"/>
      <w:bookmarkStart w:id="1514" w:name="_Toc164170497"/>
      <w:bookmarkStart w:id="1515" w:name="_Toc164178208"/>
      <w:bookmarkStart w:id="1516" w:name="_Toc166223176"/>
      <w:bookmarkStart w:id="1517" w:name="_Toc166835626"/>
      <w:bookmarkStart w:id="1518" w:name="_Toc164154497"/>
      <w:bookmarkStart w:id="1519" w:name="_Toc166253853"/>
      <w:bookmarkStart w:id="1520" w:name="_Toc166837456"/>
      <w:r>
        <w:rPr>
          <w:rFonts w:ascii="Times New Roman"/>
          <w:color w:val="000000" w:themeColor="text1" w:themeShade="BF"/>
        </w:rPr>
        <w:t>工作人员情况</w:t>
      </w:r>
      <w:bookmarkEnd w:id="1511"/>
      <w:bookmarkEnd w:id="1512"/>
      <w:bookmarkEnd w:id="1513"/>
      <w:bookmarkEnd w:id="1514"/>
      <w:bookmarkEnd w:id="1515"/>
      <w:bookmarkEnd w:id="1516"/>
      <w:bookmarkEnd w:id="1517"/>
      <w:bookmarkEnd w:id="1518"/>
      <w:bookmarkEnd w:id="1519"/>
      <w:bookmarkEnd w:id="1520"/>
    </w:p>
    <w:p w14:paraId="5314F178">
      <w:pPr>
        <w:pStyle w:val="58"/>
        <w:ind w:firstLine="420"/>
        <w:rPr>
          <w:rFonts w:ascii="Times New Roman"/>
          <w:color w:val="000000" w:themeColor="text1" w:themeShade="BF"/>
        </w:rPr>
      </w:pPr>
      <w:r>
        <w:rPr>
          <w:rFonts w:ascii="Times New Roman"/>
          <w:color w:val="000000" w:themeColor="text1" w:themeShade="BF"/>
        </w:rPr>
        <w:t>工作人员基本信息：照片、姓名、职责（或服务内容）。</w:t>
      </w:r>
    </w:p>
    <w:p w14:paraId="658069D9">
      <w:pPr>
        <w:pStyle w:val="96"/>
        <w:spacing w:before="156" w:after="156"/>
        <w:rPr>
          <w:rFonts w:ascii="Times New Roman"/>
          <w:color w:val="000000" w:themeColor="text1" w:themeShade="BF"/>
        </w:rPr>
      </w:pPr>
      <w:bookmarkStart w:id="1521" w:name="_Toc164150162"/>
      <w:bookmarkStart w:id="1522" w:name="_Toc164090203"/>
      <w:bookmarkStart w:id="1523" w:name="_Toc164090313"/>
      <w:bookmarkStart w:id="1524" w:name="_Toc164170498"/>
      <w:bookmarkStart w:id="1525" w:name="_Toc166223177"/>
      <w:bookmarkStart w:id="1526" w:name="_Toc166837457"/>
      <w:bookmarkStart w:id="1527" w:name="_Toc164178209"/>
      <w:bookmarkStart w:id="1528" w:name="_Toc166835627"/>
      <w:bookmarkStart w:id="1529" w:name="_Toc164154498"/>
      <w:bookmarkStart w:id="1530" w:name="_Toc166253854"/>
      <w:r>
        <w:rPr>
          <w:rFonts w:ascii="Times New Roman"/>
          <w:color w:val="000000" w:themeColor="text1" w:themeShade="BF"/>
        </w:rPr>
        <w:t>工作流程</w:t>
      </w:r>
      <w:bookmarkEnd w:id="1521"/>
      <w:bookmarkEnd w:id="1522"/>
      <w:bookmarkEnd w:id="1523"/>
      <w:bookmarkEnd w:id="1524"/>
      <w:bookmarkEnd w:id="1525"/>
      <w:bookmarkEnd w:id="1526"/>
      <w:bookmarkEnd w:id="1527"/>
      <w:bookmarkEnd w:id="1528"/>
      <w:bookmarkEnd w:id="1529"/>
      <w:bookmarkEnd w:id="1530"/>
    </w:p>
    <w:p w14:paraId="0A69A132">
      <w:pPr>
        <w:pStyle w:val="58"/>
        <w:ind w:firstLine="420"/>
        <w:rPr>
          <w:rFonts w:ascii="Times New Roman"/>
          <w:color w:val="000000" w:themeColor="text1" w:themeShade="BF"/>
        </w:rPr>
      </w:pPr>
      <w:r>
        <w:rPr>
          <w:rFonts w:ascii="Times New Roman"/>
          <w:color w:val="000000" w:themeColor="text1" w:themeShade="BF"/>
        </w:rPr>
        <w:t>狂犬病暴露预防处置门诊狂犬病暴露处置工作流程、预防接种服务工作流程、疑似预防接种异常反应处置流程等。</w:t>
      </w:r>
    </w:p>
    <w:p w14:paraId="1159BC34">
      <w:pPr>
        <w:pStyle w:val="96"/>
        <w:spacing w:before="156" w:after="156"/>
        <w:rPr>
          <w:rFonts w:ascii="Times New Roman"/>
          <w:color w:val="000000" w:themeColor="text1" w:themeShade="BF"/>
        </w:rPr>
      </w:pPr>
      <w:bookmarkStart w:id="1531" w:name="_Toc166223178"/>
      <w:bookmarkStart w:id="1532" w:name="_Toc164090314"/>
      <w:bookmarkStart w:id="1533" w:name="_Toc166253855"/>
      <w:bookmarkStart w:id="1534" w:name="_Toc166835628"/>
      <w:bookmarkStart w:id="1535" w:name="_Toc164090204"/>
      <w:bookmarkStart w:id="1536" w:name="_Toc164150163"/>
      <w:bookmarkStart w:id="1537" w:name="_Toc164170499"/>
      <w:bookmarkStart w:id="1538" w:name="_Toc164154499"/>
      <w:bookmarkStart w:id="1539" w:name="_Toc164178210"/>
      <w:bookmarkStart w:id="1540" w:name="_Toc166837458"/>
      <w:r>
        <w:rPr>
          <w:rFonts w:ascii="Times New Roman"/>
          <w:color w:val="000000" w:themeColor="text1" w:themeShade="BF"/>
        </w:rPr>
        <w:t>疫苗信息</w:t>
      </w:r>
      <w:bookmarkEnd w:id="1531"/>
      <w:bookmarkEnd w:id="1532"/>
      <w:bookmarkEnd w:id="1533"/>
      <w:bookmarkEnd w:id="1534"/>
      <w:bookmarkEnd w:id="1535"/>
      <w:bookmarkEnd w:id="1536"/>
      <w:bookmarkEnd w:id="1537"/>
      <w:bookmarkEnd w:id="1538"/>
      <w:bookmarkEnd w:id="1539"/>
      <w:bookmarkEnd w:id="1540"/>
    </w:p>
    <w:p w14:paraId="3A95E3D8">
      <w:pPr>
        <w:pStyle w:val="58"/>
        <w:ind w:firstLine="420"/>
        <w:rPr>
          <w:rFonts w:ascii="Times New Roman"/>
          <w:color w:val="000000" w:themeColor="text1" w:themeShade="BF"/>
        </w:rPr>
      </w:pPr>
      <w:r>
        <w:rPr>
          <w:rFonts w:ascii="Times New Roman"/>
          <w:color w:val="000000" w:themeColor="text1" w:themeShade="BF"/>
        </w:rPr>
        <w:t>该门诊提供接种的疫苗、被动免疫制剂、</w:t>
      </w:r>
      <w:r>
        <w:rPr>
          <w:rFonts w:hint="eastAsia" w:ascii="Times New Roman"/>
          <w:color w:val="000000" w:themeColor="text1" w:themeShade="BF"/>
        </w:rPr>
        <w:t>生产企业</w:t>
      </w:r>
      <w:r>
        <w:rPr>
          <w:rFonts w:ascii="Times New Roman"/>
          <w:color w:val="000000" w:themeColor="text1" w:themeShade="BF"/>
        </w:rPr>
        <w:t>、接种对象、免疫程序、接种方法、接种禁忌、以及价格、接种服务收费等。</w:t>
      </w:r>
    </w:p>
    <w:p w14:paraId="23529DDA">
      <w:pPr>
        <w:pStyle w:val="96"/>
        <w:spacing w:before="156" w:after="156"/>
        <w:rPr>
          <w:rFonts w:ascii="Times New Roman"/>
          <w:color w:val="000000" w:themeColor="text1" w:themeShade="BF"/>
        </w:rPr>
      </w:pPr>
      <w:bookmarkStart w:id="1541" w:name="_Toc164150164"/>
      <w:bookmarkStart w:id="1542" w:name="_Toc164090205"/>
      <w:bookmarkStart w:id="1543" w:name="_Toc164090315"/>
      <w:bookmarkStart w:id="1544" w:name="_Toc164154500"/>
      <w:bookmarkStart w:id="1545" w:name="_Toc164170500"/>
      <w:bookmarkStart w:id="1546" w:name="_Toc164178211"/>
      <w:bookmarkStart w:id="1547" w:name="_Toc166253856"/>
      <w:bookmarkStart w:id="1548" w:name="_Toc166837459"/>
      <w:bookmarkStart w:id="1549" w:name="_Toc166223179"/>
      <w:bookmarkStart w:id="1550" w:name="_Toc166835629"/>
      <w:r>
        <w:rPr>
          <w:rFonts w:ascii="Times New Roman"/>
          <w:color w:val="000000" w:themeColor="text1" w:themeShade="BF"/>
        </w:rPr>
        <w:t>其他内容</w:t>
      </w:r>
      <w:bookmarkEnd w:id="1541"/>
      <w:bookmarkEnd w:id="1542"/>
      <w:bookmarkEnd w:id="1543"/>
      <w:bookmarkEnd w:id="1544"/>
      <w:bookmarkEnd w:id="1545"/>
      <w:bookmarkEnd w:id="1546"/>
      <w:bookmarkEnd w:id="1547"/>
      <w:bookmarkEnd w:id="1548"/>
      <w:bookmarkEnd w:id="1549"/>
      <w:bookmarkEnd w:id="1550"/>
    </w:p>
    <w:p w14:paraId="337E7981">
      <w:pPr>
        <w:pStyle w:val="58"/>
        <w:ind w:firstLine="420"/>
        <w:rPr>
          <w:rFonts w:ascii="Times New Roman"/>
          <w:color w:val="000000" w:themeColor="text1" w:themeShade="BF"/>
        </w:rPr>
      </w:pPr>
      <w:r>
        <w:rPr>
          <w:rFonts w:ascii="Times New Roman"/>
          <w:color w:val="000000" w:themeColor="text1" w:themeShade="BF"/>
        </w:rPr>
        <w:t>预防接种法律法规和相关知识、工作制度、疑似预防接种异常反应补偿政策等。</w:t>
      </w:r>
    </w:p>
    <w:p w14:paraId="16082461">
      <w:pPr>
        <w:pStyle w:val="107"/>
        <w:spacing w:before="156" w:after="156"/>
        <w:rPr>
          <w:rFonts w:ascii="Times New Roman"/>
          <w:color w:val="000000" w:themeColor="text1" w:themeShade="BF"/>
        </w:rPr>
      </w:pPr>
      <w:bookmarkStart w:id="1551" w:name="_Toc163811079"/>
      <w:bookmarkStart w:id="1552" w:name="_Toc168488983"/>
      <w:bookmarkStart w:id="1553" w:name="_Toc164090208"/>
      <w:bookmarkStart w:id="1554" w:name="_Toc164083576"/>
      <w:bookmarkStart w:id="1555" w:name="_Toc164089756"/>
      <w:bookmarkStart w:id="1556" w:name="_Toc164089902"/>
      <w:bookmarkStart w:id="1557" w:name="_Toc164084695"/>
      <w:bookmarkStart w:id="1558" w:name="_Toc164090316"/>
      <w:bookmarkStart w:id="1559" w:name="_Toc164150165"/>
      <w:bookmarkStart w:id="1560" w:name="_Toc164154501"/>
      <w:bookmarkStart w:id="1561" w:name="_Toc164083696"/>
      <w:bookmarkStart w:id="1562" w:name="_Toc164089170"/>
      <w:bookmarkStart w:id="1563" w:name="_Toc164178212"/>
      <w:bookmarkStart w:id="1564" w:name="_Toc166223180"/>
      <w:bookmarkStart w:id="1565" w:name="_Toc166253857"/>
      <w:bookmarkStart w:id="1566" w:name="_Toc164170501"/>
      <w:bookmarkStart w:id="1567" w:name="_Toc166835630"/>
      <w:bookmarkStart w:id="1568" w:name="_Toc166837460"/>
      <w:r>
        <w:rPr>
          <w:rFonts w:ascii="Times New Roman"/>
          <w:color w:val="000000" w:themeColor="text1" w:themeShade="BF"/>
        </w:rPr>
        <w:t>二级门诊设置要求</w:t>
      </w:r>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p>
    <w:p w14:paraId="516860E6">
      <w:pPr>
        <w:pStyle w:val="67"/>
        <w:spacing w:before="156" w:after="156"/>
        <w:ind w:left="0"/>
        <w:rPr>
          <w:rFonts w:ascii="Times New Roman"/>
          <w:color w:val="000000" w:themeColor="text1" w:themeShade="BF"/>
        </w:rPr>
      </w:pPr>
      <w:bookmarkStart w:id="1569" w:name="_Toc164084696"/>
      <w:bookmarkStart w:id="1570" w:name="_Toc164089171"/>
      <w:bookmarkStart w:id="1571" w:name="_Toc164089757"/>
      <w:bookmarkStart w:id="1572" w:name="_Toc164083698"/>
      <w:bookmarkStart w:id="1573" w:name="_Toc166223181"/>
      <w:bookmarkStart w:id="1574" w:name="_Toc166837461"/>
      <w:bookmarkStart w:id="1575" w:name="_Toc164090209"/>
      <w:bookmarkStart w:id="1576" w:name="_Toc164090317"/>
      <w:bookmarkStart w:id="1577" w:name="_Toc164154502"/>
      <w:bookmarkStart w:id="1578" w:name="_Toc164150166"/>
      <w:bookmarkStart w:id="1579" w:name="_Toc164170502"/>
      <w:bookmarkStart w:id="1580" w:name="_Toc164089903"/>
      <w:bookmarkStart w:id="1581" w:name="_Toc164178213"/>
      <w:bookmarkStart w:id="1582" w:name="_Toc166835631"/>
      <w:bookmarkStart w:id="1583" w:name="_Toc166253858"/>
      <w:r>
        <w:rPr>
          <w:rFonts w:ascii="Times New Roman"/>
          <w:color w:val="000000" w:themeColor="text1" w:themeShade="BF"/>
        </w:rPr>
        <w:t>基础配置</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2C5A3238">
      <w:pPr>
        <w:widowControl/>
        <w:adjustRightInd/>
        <w:spacing w:before="156" w:beforeLines="50" w:after="156" w:afterLines="50" w:line="240" w:lineRule="auto"/>
        <w:ind w:firstLine="420" w:firstLineChars="200"/>
        <w:rPr>
          <w:rFonts w:ascii="Times New Roman" w:hAnsi="Times New Roman"/>
          <w:color w:val="000000" w:themeColor="text1" w:themeShade="BF"/>
          <w:kern w:val="0"/>
          <w:szCs w:val="20"/>
        </w:rPr>
      </w:pPr>
      <w:r>
        <w:rPr>
          <w:rFonts w:ascii="Times New Roman" w:hAnsi="Times New Roman"/>
          <w:color w:val="000000" w:themeColor="text1" w:themeShade="BF"/>
          <w:kern w:val="0"/>
          <w:szCs w:val="20"/>
        </w:rPr>
        <w:t>应符合本文件7.2.1规定的基础配置条件，伤口处置区、接种区面积应在15 m</w:t>
      </w:r>
      <w:r>
        <w:rPr>
          <w:rFonts w:ascii="Times New Roman" w:hAnsi="Times New Roman"/>
          <w:color w:val="000000" w:themeColor="text1" w:themeShade="BF"/>
          <w:kern w:val="0"/>
          <w:szCs w:val="20"/>
          <w:vertAlign w:val="superscript"/>
        </w:rPr>
        <w:t>2</w:t>
      </w:r>
      <w:r>
        <w:rPr>
          <w:rFonts w:ascii="Times New Roman" w:hAnsi="Times New Roman"/>
          <w:color w:val="000000" w:themeColor="text1" w:themeShade="BF"/>
          <w:kern w:val="0"/>
          <w:szCs w:val="20"/>
        </w:rPr>
        <w:t>以上。</w:t>
      </w:r>
    </w:p>
    <w:p w14:paraId="1B455FF1">
      <w:pPr>
        <w:pStyle w:val="67"/>
        <w:spacing w:before="156" w:after="156"/>
        <w:ind w:left="0"/>
        <w:rPr>
          <w:rFonts w:ascii="Times New Roman"/>
          <w:color w:val="000000" w:themeColor="text1" w:themeShade="BF"/>
        </w:rPr>
      </w:pPr>
      <w:bookmarkStart w:id="1584" w:name="_Toc166223182"/>
      <w:bookmarkStart w:id="1585" w:name="_Toc164090318"/>
      <w:bookmarkStart w:id="1586" w:name="_Toc164154503"/>
      <w:bookmarkStart w:id="1587" w:name="_Toc164170503"/>
      <w:bookmarkStart w:id="1588" w:name="_Toc164150167"/>
      <w:bookmarkStart w:id="1589" w:name="_Toc164178214"/>
      <w:bookmarkStart w:id="1590" w:name="_Toc166835632"/>
      <w:bookmarkStart w:id="1591" w:name="_Toc166253859"/>
      <w:bookmarkStart w:id="1592" w:name="_Toc166837462"/>
      <w:bookmarkStart w:id="1593" w:name="_Toc164083699"/>
      <w:bookmarkStart w:id="1594" w:name="_Toc164084697"/>
      <w:bookmarkStart w:id="1595" w:name="_Toc164089172"/>
      <w:bookmarkStart w:id="1596" w:name="_Toc164090210"/>
      <w:bookmarkStart w:id="1597" w:name="_Toc164089758"/>
      <w:bookmarkStart w:id="1598" w:name="_Toc164089904"/>
      <w:r>
        <w:rPr>
          <w:rFonts w:ascii="Times New Roman"/>
          <w:color w:val="000000" w:themeColor="text1" w:themeShade="BF"/>
        </w:rPr>
        <w:t>设施和设备</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p>
    <w:p w14:paraId="4F7E72F9">
      <w:pPr>
        <w:widowControl/>
        <w:adjustRightInd/>
        <w:spacing w:before="156" w:beforeLines="50" w:after="156" w:afterLines="50" w:line="240" w:lineRule="auto"/>
        <w:ind w:firstLine="420" w:firstLineChars="200"/>
        <w:rPr>
          <w:rFonts w:ascii="Times New Roman" w:hAnsi="Times New Roman"/>
          <w:color w:val="000000" w:themeColor="text1" w:themeShade="BF"/>
          <w:kern w:val="0"/>
          <w:szCs w:val="20"/>
        </w:rPr>
      </w:pPr>
      <w:r>
        <w:rPr>
          <w:rFonts w:ascii="Times New Roman" w:hAnsi="Times New Roman"/>
          <w:color w:val="000000" w:themeColor="text1" w:themeShade="BF"/>
          <w:kern w:val="0"/>
          <w:szCs w:val="20"/>
        </w:rPr>
        <w:t>应符合本文件7.2.2规定的设施和设备条件，并配备专业伤口清洗设备（含专用清洗液）。</w:t>
      </w:r>
    </w:p>
    <w:p w14:paraId="410D8CCE">
      <w:pPr>
        <w:pStyle w:val="67"/>
        <w:spacing w:before="156" w:after="156"/>
        <w:ind w:left="0"/>
        <w:rPr>
          <w:rFonts w:ascii="Times New Roman"/>
          <w:color w:val="000000" w:themeColor="text1" w:themeShade="BF"/>
        </w:rPr>
      </w:pPr>
      <w:bookmarkStart w:id="1599" w:name="_Toc164089759"/>
      <w:bookmarkStart w:id="1600" w:name="_Toc164084698"/>
      <w:bookmarkStart w:id="1601" w:name="_Toc164090319"/>
      <w:bookmarkStart w:id="1602" w:name="_Toc164154504"/>
      <w:bookmarkStart w:id="1603" w:name="_Toc164090211"/>
      <w:bookmarkStart w:id="1604" w:name="_Toc164089905"/>
      <w:bookmarkStart w:id="1605" w:name="_Toc164083697"/>
      <w:bookmarkStart w:id="1606" w:name="_Toc164089173"/>
      <w:bookmarkStart w:id="1607" w:name="_Toc164150168"/>
      <w:bookmarkStart w:id="1608" w:name="_Toc164170504"/>
      <w:bookmarkStart w:id="1609" w:name="_Toc166835633"/>
      <w:bookmarkStart w:id="1610" w:name="_Toc166223183"/>
      <w:bookmarkStart w:id="1611" w:name="_Toc166837463"/>
      <w:bookmarkStart w:id="1612" w:name="_Toc166253860"/>
      <w:bookmarkStart w:id="1613" w:name="_Toc164178215"/>
      <w:r>
        <w:rPr>
          <w:rFonts w:ascii="Times New Roman"/>
          <w:color w:val="000000" w:themeColor="text1" w:themeShade="BF"/>
        </w:rPr>
        <w:t>人员要求</w:t>
      </w:r>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p>
    <w:p w14:paraId="3FDF8637">
      <w:pPr>
        <w:widowControl/>
        <w:adjustRightInd/>
        <w:spacing w:before="156" w:beforeLines="50" w:after="156" w:afterLines="50" w:line="240" w:lineRule="auto"/>
        <w:ind w:firstLine="420" w:firstLineChars="200"/>
        <w:rPr>
          <w:rFonts w:ascii="Times New Roman" w:hAnsi="Times New Roman"/>
          <w:color w:val="000000" w:themeColor="text1" w:themeShade="BF"/>
          <w:kern w:val="0"/>
          <w:szCs w:val="20"/>
        </w:rPr>
      </w:pPr>
      <w:r>
        <w:rPr>
          <w:rFonts w:ascii="Times New Roman" w:hAnsi="Times New Roman"/>
          <w:color w:val="000000" w:themeColor="text1" w:themeShade="BF"/>
          <w:kern w:val="0"/>
          <w:szCs w:val="20"/>
        </w:rPr>
        <w:t>应符合本文件7.2.3规定的人员要求条件，并至少</w:t>
      </w:r>
      <w:r>
        <w:rPr>
          <w:rFonts w:hint="eastAsia" w:ascii="Times New Roman" w:hAnsi="Times New Roman"/>
          <w:color w:val="000000" w:themeColor="text1" w:themeShade="BF"/>
          <w:kern w:val="0"/>
          <w:szCs w:val="20"/>
        </w:rPr>
        <w:t>配备</w:t>
      </w:r>
      <w:r>
        <w:rPr>
          <w:rFonts w:ascii="Times New Roman" w:hAnsi="Times New Roman"/>
          <w:color w:val="000000" w:themeColor="text1" w:themeShade="BF"/>
          <w:kern w:val="0"/>
          <w:szCs w:val="20"/>
        </w:rPr>
        <w:t>1名具有执业资质、经过专门培训的外科医师。</w:t>
      </w:r>
    </w:p>
    <w:p w14:paraId="7D2CBB7A">
      <w:pPr>
        <w:pStyle w:val="67"/>
        <w:spacing w:before="156" w:after="156"/>
        <w:ind w:left="0"/>
        <w:rPr>
          <w:rFonts w:ascii="Times New Roman"/>
          <w:color w:val="000000" w:themeColor="text1" w:themeShade="BF"/>
        </w:rPr>
      </w:pPr>
      <w:bookmarkStart w:id="1614" w:name="_Toc164178216"/>
      <w:bookmarkStart w:id="1615" w:name="_Toc166253861"/>
      <w:bookmarkStart w:id="1616" w:name="_Toc166837464"/>
      <w:bookmarkStart w:id="1617" w:name="_Toc166223184"/>
      <w:bookmarkStart w:id="1618" w:name="_Toc166835634"/>
      <w:r>
        <w:rPr>
          <w:rFonts w:ascii="Times New Roman"/>
          <w:color w:val="000000" w:themeColor="text1" w:themeShade="BF"/>
        </w:rPr>
        <w:t>信息系统管理要求</w:t>
      </w:r>
      <w:bookmarkEnd w:id="1614"/>
      <w:bookmarkEnd w:id="1615"/>
      <w:bookmarkEnd w:id="1616"/>
      <w:bookmarkEnd w:id="1617"/>
      <w:bookmarkEnd w:id="1618"/>
    </w:p>
    <w:p w14:paraId="38212CCF">
      <w:pPr>
        <w:widowControl/>
        <w:autoSpaceDE w:val="0"/>
        <w:autoSpaceDN w:val="0"/>
        <w:adjustRightInd/>
        <w:spacing w:line="240" w:lineRule="auto"/>
        <w:ind w:firstLine="420" w:firstLineChars="200"/>
        <w:rPr>
          <w:rFonts w:ascii="Times New Roman" w:hAnsi="Times New Roman"/>
          <w:color w:val="000000" w:themeColor="text1" w:themeShade="BF"/>
          <w:kern w:val="0"/>
          <w:szCs w:val="20"/>
        </w:rPr>
      </w:pPr>
      <w:r>
        <w:rPr>
          <w:rFonts w:ascii="Times New Roman" w:hAnsi="Times New Roman"/>
          <w:color w:val="000000" w:themeColor="text1" w:themeShade="BF"/>
          <w:kern w:val="0"/>
          <w:szCs w:val="20"/>
        </w:rPr>
        <w:t>应符合本文件7.2.4规定的信息系统管理要求。</w:t>
      </w:r>
    </w:p>
    <w:p w14:paraId="6BC0D3D8">
      <w:pPr>
        <w:pStyle w:val="67"/>
        <w:spacing w:before="156" w:after="156"/>
        <w:ind w:left="0"/>
        <w:rPr>
          <w:rFonts w:ascii="Times New Roman"/>
          <w:color w:val="000000" w:themeColor="text1" w:themeShade="BF"/>
        </w:rPr>
      </w:pPr>
      <w:bookmarkStart w:id="1619" w:name="_Toc164083701"/>
      <w:bookmarkStart w:id="1620" w:name="_Toc164090213"/>
      <w:bookmarkStart w:id="1621" w:name="_Toc164154506"/>
      <w:bookmarkStart w:id="1622" w:name="_Toc164084700"/>
      <w:bookmarkStart w:id="1623" w:name="_Toc164170506"/>
      <w:bookmarkStart w:id="1624" w:name="_Toc166253862"/>
      <w:bookmarkStart w:id="1625" w:name="_Toc166223185"/>
      <w:bookmarkStart w:id="1626" w:name="_Toc166837465"/>
      <w:bookmarkStart w:id="1627" w:name="_Toc166835635"/>
      <w:bookmarkStart w:id="1628" w:name="_Toc164089761"/>
      <w:bookmarkStart w:id="1629" w:name="_Toc164089907"/>
      <w:bookmarkStart w:id="1630" w:name="_Toc164150170"/>
      <w:bookmarkStart w:id="1631" w:name="_Toc164178217"/>
      <w:bookmarkStart w:id="1632" w:name="_Toc164089175"/>
      <w:bookmarkStart w:id="1633" w:name="_Toc164090321"/>
      <w:r>
        <w:rPr>
          <w:rFonts w:ascii="Times New Roman"/>
          <w:color w:val="000000" w:themeColor="text1" w:themeShade="BF"/>
        </w:rPr>
        <w:t>信息公示</w:t>
      </w:r>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p>
    <w:p w14:paraId="5F8BECB8">
      <w:pPr>
        <w:widowControl/>
        <w:autoSpaceDE w:val="0"/>
        <w:autoSpaceDN w:val="0"/>
        <w:adjustRightInd/>
        <w:spacing w:line="240" w:lineRule="auto"/>
        <w:ind w:firstLine="420" w:firstLineChars="200"/>
        <w:rPr>
          <w:rFonts w:ascii="Times New Roman" w:hAnsi="Times New Roman"/>
          <w:color w:val="000000" w:themeColor="text1" w:themeShade="BF"/>
          <w:kern w:val="0"/>
          <w:szCs w:val="20"/>
        </w:rPr>
      </w:pPr>
      <w:r>
        <w:rPr>
          <w:rFonts w:ascii="Times New Roman" w:hAnsi="Times New Roman"/>
          <w:color w:val="000000" w:themeColor="text1" w:themeShade="BF"/>
          <w:kern w:val="0"/>
          <w:szCs w:val="20"/>
        </w:rPr>
        <w:t>应符合本文件7.2.5规定的信息公示要求。</w:t>
      </w:r>
    </w:p>
    <w:p w14:paraId="16053460">
      <w:pPr>
        <w:pStyle w:val="58"/>
        <w:ind w:firstLine="420"/>
        <w:rPr>
          <w:rFonts w:ascii="Times New Roman"/>
          <w:color w:val="000000" w:themeColor="text1"/>
          <w14:textFill>
            <w14:solidFill>
              <w14:schemeClr w14:val="tx1"/>
            </w14:solidFill>
          </w14:textFill>
        </w:rPr>
      </w:pPr>
    </w:p>
    <w:bookmarkEnd w:id="65"/>
    <w:p w14:paraId="60B6FF12">
      <w:pPr>
        <w:pStyle w:val="58"/>
        <w:ind w:firstLine="420"/>
        <w:rPr>
          <w:rFonts w:ascii="Times New Roman"/>
          <w:color w:val="000000" w:themeColor="text1"/>
          <w14:textFill>
            <w14:solidFill>
              <w14:schemeClr w14:val="tx1"/>
            </w14:solidFill>
          </w14:textFill>
        </w:rPr>
      </w:pPr>
      <w:bookmarkStart w:id="1634" w:name="BookMark6"/>
    </w:p>
    <w:p w14:paraId="7E68A3BE">
      <w:pPr>
        <w:pStyle w:val="58"/>
        <w:ind w:firstLine="420"/>
        <w:rPr>
          <w:color w:val="000000" w:themeColor="text1"/>
          <w14:textFill>
            <w14:solidFill>
              <w14:schemeClr w14:val="tx1"/>
            </w14:solidFill>
          </w14:textFill>
        </w:rPr>
        <w:sectPr>
          <w:pgSz w:w="11906" w:h="16838"/>
          <w:pgMar w:top="2410" w:right="1134" w:bottom="1134" w:left="1134" w:header="1418" w:footer="1134" w:gutter="284"/>
          <w:pgNumType w:start="1"/>
          <w:cols w:space="425" w:num="1"/>
          <w:formProt w:val="0"/>
          <w:docGrid w:type="lines" w:linePitch="312" w:charSpace="0"/>
        </w:sectPr>
      </w:pPr>
    </w:p>
    <w:p w14:paraId="0ACD9EA7">
      <w:pPr>
        <w:pStyle w:val="65"/>
        <w:spacing w:before="124" w:after="156"/>
        <w:rPr>
          <w:color w:val="000000" w:themeColor="text1"/>
          <w14:textFill>
            <w14:solidFill>
              <w14:schemeClr w14:val="tx1"/>
            </w14:solidFill>
          </w14:textFill>
        </w:rPr>
      </w:pPr>
      <w:bookmarkStart w:id="1635" w:name="_Toc164178218"/>
      <w:bookmarkStart w:id="1636" w:name="_Toc164089762"/>
      <w:bookmarkStart w:id="1637" w:name="_Toc164089908"/>
      <w:bookmarkStart w:id="1638" w:name="_Toc166223186"/>
      <w:bookmarkStart w:id="1639" w:name="_Toc164089176"/>
      <w:bookmarkStart w:id="1640" w:name="_Toc164150171"/>
      <w:bookmarkStart w:id="1641" w:name="_Toc166253863"/>
      <w:bookmarkStart w:id="1642" w:name="_Toc168488994"/>
      <w:bookmarkStart w:id="1643" w:name="_Toc164083577"/>
      <w:bookmarkStart w:id="1644" w:name="_Toc164090322"/>
      <w:bookmarkStart w:id="1645" w:name="_Toc164084701"/>
      <w:bookmarkStart w:id="1646" w:name="_Toc164090214"/>
      <w:bookmarkStart w:id="1647" w:name="_Toc166835636"/>
      <w:bookmarkStart w:id="1648" w:name="_Toc166837466"/>
      <w:bookmarkStart w:id="1649" w:name="_Toc168488984"/>
      <w:bookmarkStart w:id="1650" w:name="_Toc168581126"/>
      <w:bookmarkStart w:id="1651" w:name="_Toc163811080"/>
      <w:bookmarkStart w:id="1652" w:name="_Toc164083702"/>
      <w:bookmarkStart w:id="1653" w:name="_Toc164170507"/>
      <w:bookmarkStart w:id="1654" w:name="_Toc164154507"/>
      <w:r>
        <w:rPr>
          <w:rFonts w:hint="eastAsia"/>
          <w:color w:val="000000" w:themeColor="text1"/>
          <w:spacing w:val="105"/>
          <w14:textFill>
            <w14:solidFill>
              <w14:schemeClr w14:val="tx1"/>
            </w14:solidFill>
          </w14:textFill>
        </w:rPr>
        <w:t>参考文</w:t>
      </w:r>
      <w:r>
        <w:rPr>
          <w:rFonts w:hint="eastAsia"/>
          <w:color w:val="000000" w:themeColor="text1"/>
          <w14:textFill>
            <w14:solidFill>
              <w14:schemeClr w14:val="tx1"/>
            </w14:solidFill>
          </w14:textFill>
        </w:rPr>
        <w:t>献</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bookmarkEnd w:id="1634"/>
    <w:p w14:paraId="0D4C2C23">
      <w:pPr>
        <w:pStyle w:val="58"/>
        <w:ind w:firstLine="420"/>
        <w:rPr>
          <w:color w:val="000000" w:themeColor="text1"/>
          <w14:textFill>
            <w14:solidFill>
              <w14:schemeClr w14:val="tx1"/>
            </w14:solidFill>
          </w14:textFill>
        </w:rPr>
      </w:pPr>
      <w:bookmarkStart w:id="1655" w:name="BookMark8"/>
      <w:r>
        <w:rPr>
          <w:rFonts w:hint="eastAsia"/>
          <w:color w:val="000000" w:themeColor="text1"/>
          <w14:textFill>
            <w14:solidFill>
              <w14:schemeClr w14:val="tx1"/>
            </w14:solidFill>
          </w14:textFill>
        </w:rPr>
        <w:t>[</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中华人民共和国疫苗管理法（中华人民共和国主席令〔2019〕30号）</w:t>
      </w:r>
    </w:p>
    <w:p w14:paraId="3E45E86C">
      <w:pPr>
        <w:pStyle w:val="58"/>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 预防接种工作规范（国疾控综卫免发〔2023 〕17号）</w:t>
      </w:r>
    </w:p>
    <w:p w14:paraId="1AF2496F">
      <w:pPr>
        <w:pStyle w:val="58"/>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疫苗储存和运输管理规范（国卫疾控发〔2017〕60号）</w:t>
      </w:r>
    </w:p>
    <w:p w14:paraId="5BF7E4C4">
      <w:pPr>
        <w:pStyle w:val="58"/>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关于进一步加强儿童预防接种门诊标准化建设的意见（苏卫疾控〔2019〕20 号）</w:t>
      </w:r>
    </w:p>
    <w:p w14:paraId="50100AF2">
      <w:pPr>
        <w:pStyle w:val="58"/>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关于进一步加强免疫规划疫苗接种单位建设和管理的通知（苏卫疾控〔20</w:t>
      </w:r>
      <w:r>
        <w:rPr>
          <w:color w:val="000000" w:themeColor="text1"/>
          <w14:textFill>
            <w14:solidFill>
              <w14:schemeClr w14:val="tx1"/>
            </w14:solidFill>
          </w14:textFill>
        </w:rPr>
        <w:t>20</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59</w:t>
      </w:r>
      <w:r>
        <w:rPr>
          <w:rFonts w:hint="eastAsia"/>
          <w:color w:val="000000" w:themeColor="text1"/>
          <w14:textFill>
            <w14:solidFill>
              <w14:schemeClr w14:val="tx1"/>
            </w14:solidFill>
          </w14:textFill>
        </w:rPr>
        <w:t xml:space="preserve"> 号）</w:t>
      </w:r>
    </w:p>
    <w:p w14:paraId="1280B44B">
      <w:pPr>
        <w:pStyle w:val="58"/>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6</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关于加强非免疫规划疫苗接种单位建设和开展非免疫规划疫苗接种单位备案管理的通知（苏卫疾控〔2020〕60号）</w:t>
      </w:r>
    </w:p>
    <w:p w14:paraId="6E915492">
      <w:pPr>
        <w:pStyle w:val="58"/>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7</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狂犬病暴露预防处置工作规范（国疾控综传防发〔2023〕14号）</w:t>
      </w:r>
    </w:p>
    <w:p w14:paraId="58664F23">
      <w:pPr>
        <w:pStyle w:val="58"/>
        <w:ind w:firstLine="0" w:firstLineChars="0"/>
        <w:jc w:val="center"/>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655"/>
    </w:p>
    <w:sectPr>
      <w:pgSz w:w="11906" w:h="16838"/>
      <w:pgMar w:top="2410"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03AC6">
    <w:pPr>
      <w:pStyle w:val="18"/>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C5A776">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7B0B70">
    <w:pPr>
      <w:pStyle w:val="54"/>
    </w:pPr>
    <w:r>
      <w:fldChar w:fldCharType="begin"/>
    </w:r>
    <w:r>
      <w:instrText xml:space="preserve">PAGE   \* MERGEFORMAT</w:instrText>
    </w:r>
    <w:r>
      <w:fldChar w:fldCharType="separate"/>
    </w:r>
    <w:r>
      <w:rPr>
        <w:lang w:val="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9C8CD6">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885587">
    <w:pPr>
      <w:pStyle w:val="1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AA00E8">
    <w:pPr>
      <w:pStyle w:val="63"/>
    </w:pPr>
    <w:r>
      <w:fldChar w:fldCharType="begin"/>
    </w:r>
    <w:r>
      <w:instrText xml:space="preserve"> STYLEREF  标准文件_文件编号  \* MERGEFORMAT </w:instrText>
    </w:r>
    <w:r>
      <w:fldChar w:fldCharType="separate"/>
    </w:r>
    <w:r>
      <w:t>DB32/TXXXX—XXXX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65E75C">
    <w:pPr>
      <w:pStyle w:val="19"/>
      <w:jc w:val="right"/>
      <w:rPr>
        <w:lang w:val="fr-FR"/>
      </w:rPr>
    </w:pPr>
    <w:r>
      <w:fldChar w:fldCharType="begin"/>
    </w:r>
    <w:r>
      <w:instrText xml:space="preserve"> STYLEREF  标准文件_文件编号  \* MERGEFORMAT </w:instrText>
    </w:r>
    <w:r>
      <w:fldChar w:fldCharType="separate"/>
    </w:r>
    <w:r>
      <w:t>DB32/TXXXX—XXXX</w:t>
    </w:r>
    <w:r>
      <w:rPr>
        <w:lang w:val="fr-F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2268"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themeColor="text1"/>
        <w:spacing w:val="0"/>
        <w:kern w:val="0"/>
        <w:position w:val="0"/>
        <w:sz w:val="21"/>
        <w:u w:val="none"/>
        <w:vertAlign w:val="baseline"/>
        <w14:textFill>
          <w14:solidFill>
            <w14:schemeClr w14:val="tx1"/>
          </w14:solidFill>
        </w14:textFill>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142"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bordersDoNotSurroundHeader w:val="1"/>
  <w:bordersDoNotSurroundFooter w:val="1"/>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mNDNkOWUxODQ5YzRjYzI2Mjk0ZTQ4NGE4MDc3ZDUifQ=="/>
    <w:docVar w:name="KY_MEDREF_DOCUID" w:val="{099DE3F0-4032-423E-B865-C4EC069A9F5F}"/>
    <w:docVar w:name="KY_MEDREF_VERSION" w:val="3"/>
  </w:docVars>
  <w:rsids>
    <w:rsidRoot w:val="00DD1F31"/>
    <w:rsid w:val="0000040A"/>
    <w:rsid w:val="00000A94"/>
    <w:rsid w:val="00001972"/>
    <w:rsid w:val="00001D9A"/>
    <w:rsid w:val="000061C2"/>
    <w:rsid w:val="00007B3A"/>
    <w:rsid w:val="00007B42"/>
    <w:rsid w:val="000107E0"/>
    <w:rsid w:val="00011FDE"/>
    <w:rsid w:val="00012FFD"/>
    <w:rsid w:val="00014162"/>
    <w:rsid w:val="00014340"/>
    <w:rsid w:val="00016A9C"/>
    <w:rsid w:val="00022184"/>
    <w:rsid w:val="00022762"/>
    <w:rsid w:val="000232E9"/>
    <w:rsid w:val="000238E0"/>
    <w:rsid w:val="000249DB"/>
    <w:rsid w:val="0002595E"/>
    <w:rsid w:val="000303C3"/>
    <w:rsid w:val="00031309"/>
    <w:rsid w:val="000331D3"/>
    <w:rsid w:val="000346A5"/>
    <w:rsid w:val="000359C3"/>
    <w:rsid w:val="00035A7D"/>
    <w:rsid w:val="000365ED"/>
    <w:rsid w:val="0004249A"/>
    <w:rsid w:val="00043282"/>
    <w:rsid w:val="00044286"/>
    <w:rsid w:val="00047F28"/>
    <w:rsid w:val="000503AA"/>
    <w:rsid w:val="000506A1"/>
    <w:rsid w:val="000515DD"/>
    <w:rsid w:val="000518F3"/>
    <w:rsid w:val="0005265A"/>
    <w:rsid w:val="000539DD"/>
    <w:rsid w:val="00053BD3"/>
    <w:rsid w:val="0005412B"/>
    <w:rsid w:val="000547F5"/>
    <w:rsid w:val="000556ED"/>
    <w:rsid w:val="00055FE2"/>
    <w:rsid w:val="0005616F"/>
    <w:rsid w:val="00056E6E"/>
    <w:rsid w:val="00057E7E"/>
    <w:rsid w:val="00060C2E"/>
    <w:rsid w:val="00061033"/>
    <w:rsid w:val="000619E9"/>
    <w:rsid w:val="000622D4"/>
    <w:rsid w:val="0006357D"/>
    <w:rsid w:val="00067F1E"/>
    <w:rsid w:val="00071CC0"/>
    <w:rsid w:val="00073C8C"/>
    <w:rsid w:val="00076C57"/>
    <w:rsid w:val="00077B64"/>
    <w:rsid w:val="00080A1C"/>
    <w:rsid w:val="00080F73"/>
    <w:rsid w:val="00082317"/>
    <w:rsid w:val="00083D2C"/>
    <w:rsid w:val="00086AA1"/>
    <w:rsid w:val="00086CDC"/>
    <w:rsid w:val="00087A77"/>
    <w:rsid w:val="00090CA6"/>
    <w:rsid w:val="00092B8A"/>
    <w:rsid w:val="00092FB0"/>
    <w:rsid w:val="000934C5"/>
    <w:rsid w:val="00093D25"/>
    <w:rsid w:val="00093DAB"/>
    <w:rsid w:val="00094D73"/>
    <w:rsid w:val="00096D63"/>
    <w:rsid w:val="00096F72"/>
    <w:rsid w:val="000A0B60"/>
    <w:rsid w:val="000A0EB8"/>
    <w:rsid w:val="000A19FC"/>
    <w:rsid w:val="000A296B"/>
    <w:rsid w:val="000A390D"/>
    <w:rsid w:val="000A7311"/>
    <w:rsid w:val="000B060F"/>
    <w:rsid w:val="000B1592"/>
    <w:rsid w:val="000B1DAC"/>
    <w:rsid w:val="000B1FF2"/>
    <w:rsid w:val="000B3CDA"/>
    <w:rsid w:val="000B6A0B"/>
    <w:rsid w:val="000B6EDA"/>
    <w:rsid w:val="000C02F4"/>
    <w:rsid w:val="000C0A4B"/>
    <w:rsid w:val="000C0F6C"/>
    <w:rsid w:val="000C11DB"/>
    <w:rsid w:val="000C1492"/>
    <w:rsid w:val="000C2FBD"/>
    <w:rsid w:val="000C4B41"/>
    <w:rsid w:val="000C4C14"/>
    <w:rsid w:val="000C57D6"/>
    <w:rsid w:val="000C624A"/>
    <w:rsid w:val="000C6362"/>
    <w:rsid w:val="000C7666"/>
    <w:rsid w:val="000D0A9C"/>
    <w:rsid w:val="000D1795"/>
    <w:rsid w:val="000D329A"/>
    <w:rsid w:val="000D4B9C"/>
    <w:rsid w:val="000D4EB6"/>
    <w:rsid w:val="000D7052"/>
    <w:rsid w:val="000D753B"/>
    <w:rsid w:val="000E4C9E"/>
    <w:rsid w:val="000E6E6A"/>
    <w:rsid w:val="000E6FD7"/>
    <w:rsid w:val="000F06E1"/>
    <w:rsid w:val="000F0E3C"/>
    <w:rsid w:val="000F19D5"/>
    <w:rsid w:val="000F4AEA"/>
    <w:rsid w:val="000F633F"/>
    <w:rsid w:val="000F67E9"/>
    <w:rsid w:val="00104926"/>
    <w:rsid w:val="00104AEC"/>
    <w:rsid w:val="00113B1E"/>
    <w:rsid w:val="0011711C"/>
    <w:rsid w:val="0012059C"/>
    <w:rsid w:val="00124E4F"/>
    <w:rsid w:val="001260B7"/>
    <w:rsid w:val="001261F0"/>
    <w:rsid w:val="001265CB"/>
    <w:rsid w:val="001321C6"/>
    <w:rsid w:val="001325C4"/>
    <w:rsid w:val="00133010"/>
    <w:rsid w:val="001338EE"/>
    <w:rsid w:val="00133AAE"/>
    <w:rsid w:val="00135311"/>
    <w:rsid w:val="00135323"/>
    <w:rsid w:val="001356C4"/>
    <w:rsid w:val="00136AEC"/>
    <w:rsid w:val="00141114"/>
    <w:rsid w:val="00142969"/>
    <w:rsid w:val="001446C2"/>
    <w:rsid w:val="001457E7"/>
    <w:rsid w:val="00145D9D"/>
    <w:rsid w:val="00146388"/>
    <w:rsid w:val="001474DB"/>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1B0D"/>
    <w:rsid w:val="001724A3"/>
    <w:rsid w:val="0017340B"/>
    <w:rsid w:val="0017344B"/>
    <w:rsid w:val="00173FB1"/>
    <w:rsid w:val="00176DFD"/>
    <w:rsid w:val="0018419E"/>
    <w:rsid w:val="001852C9"/>
    <w:rsid w:val="00190087"/>
    <w:rsid w:val="001913C4"/>
    <w:rsid w:val="0019348F"/>
    <w:rsid w:val="00193A07"/>
    <w:rsid w:val="00194C95"/>
    <w:rsid w:val="00194E29"/>
    <w:rsid w:val="001957B3"/>
    <w:rsid w:val="00195C34"/>
    <w:rsid w:val="00196EF5"/>
    <w:rsid w:val="00197DFF"/>
    <w:rsid w:val="001A1A53"/>
    <w:rsid w:val="001A2260"/>
    <w:rsid w:val="001A234A"/>
    <w:rsid w:val="001A28FC"/>
    <w:rsid w:val="001A4CF3"/>
    <w:rsid w:val="001A6029"/>
    <w:rsid w:val="001A6C83"/>
    <w:rsid w:val="001A6DF4"/>
    <w:rsid w:val="001B06E8"/>
    <w:rsid w:val="001B2BD6"/>
    <w:rsid w:val="001B71D0"/>
    <w:rsid w:val="001B71EE"/>
    <w:rsid w:val="001C04A8"/>
    <w:rsid w:val="001C1454"/>
    <w:rsid w:val="001C2C03"/>
    <w:rsid w:val="001C42F7"/>
    <w:rsid w:val="001C49E5"/>
    <w:rsid w:val="001C544A"/>
    <w:rsid w:val="001C680C"/>
    <w:rsid w:val="001C7FEA"/>
    <w:rsid w:val="001D0499"/>
    <w:rsid w:val="001D0BBE"/>
    <w:rsid w:val="001D0ED4"/>
    <w:rsid w:val="001D212F"/>
    <w:rsid w:val="001D29D7"/>
    <w:rsid w:val="001D2DE7"/>
    <w:rsid w:val="001D2EA9"/>
    <w:rsid w:val="001D2F69"/>
    <w:rsid w:val="001D411C"/>
    <w:rsid w:val="001D5480"/>
    <w:rsid w:val="001E1B6A"/>
    <w:rsid w:val="001E20D7"/>
    <w:rsid w:val="001E2484"/>
    <w:rsid w:val="001E2566"/>
    <w:rsid w:val="001E3CC4"/>
    <w:rsid w:val="001E4882"/>
    <w:rsid w:val="001E73AB"/>
    <w:rsid w:val="001F092D"/>
    <w:rsid w:val="001F143A"/>
    <w:rsid w:val="001F1605"/>
    <w:rsid w:val="001F2508"/>
    <w:rsid w:val="001F2FF3"/>
    <w:rsid w:val="001F4816"/>
    <w:rsid w:val="001F4EE9"/>
    <w:rsid w:val="001F69B4"/>
    <w:rsid w:val="001F77C7"/>
    <w:rsid w:val="00200183"/>
    <w:rsid w:val="00200333"/>
    <w:rsid w:val="0020107D"/>
    <w:rsid w:val="00202AA4"/>
    <w:rsid w:val="002031F7"/>
    <w:rsid w:val="002040E6"/>
    <w:rsid w:val="002046D1"/>
    <w:rsid w:val="0020527B"/>
    <w:rsid w:val="00205F2C"/>
    <w:rsid w:val="00207CFB"/>
    <w:rsid w:val="00210B15"/>
    <w:rsid w:val="002142EA"/>
    <w:rsid w:val="002204BB"/>
    <w:rsid w:val="00221B79"/>
    <w:rsid w:val="00221C6B"/>
    <w:rsid w:val="002253A1"/>
    <w:rsid w:val="00225CF8"/>
    <w:rsid w:val="0022794E"/>
    <w:rsid w:val="00227C13"/>
    <w:rsid w:val="00233D64"/>
    <w:rsid w:val="0023482A"/>
    <w:rsid w:val="002359CB"/>
    <w:rsid w:val="00243492"/>
    <w:rsid w:val="00243540"/>
    <w:rsid w:val="0024497B"/>
    <w:rsid w:val="0024515B"/>
    <w:rsid w:val="00246021"/>
    <w:rsid w:val="0024666E"/>
    <w:rsid w:val="00247F52"/>
    <w:rsid w:val="00250B25"/>
    <w:rsid w:val="00250BBE"/>
    <w:rsid w:val="002515C2"/>
    <w:rsid w:val="0025194F"/>
    <w:rsid w:val="0026148A"/>
    <w:rsid w:val="0026205C"/>
    <w:rsid w:val="00262696"/>
    <w:rsid w:val="00263D25"/>
    <w:rsid w:val="002643C3"/>
    <w:rsid w:val="00264A0C"/>
    <w:rsid w:val="00265EA7"/>
    <w:rsid w:val="00266EEB"/>
    <w:rsid w:val="00267EF4"/>
    <w:rsid w:val="00270CB8"/>
    <w:rsid w:val="002727A4"/>
    <w:rsid w:val="00272B08"/>
    <w:rsid w:val="002778F4"/>
    <w:rsid w:val="00277E71"/>
    <w:rsid w:val="0028134C"/>
    <w:rsid w:val="00281BB8"/>
    <w:rsid w:val="00281E9E"/>
    <w:rsid w:val="00282405"/>
    <w:rsid w:val="00283EFA"/>
    <w:rsid w:val="00285170"/>
    <w:rsid w:val="00285361"/>
    <w:rsid w:val="002857F1"/>
    <w:rsid w:val="00286064"/>
    <w:rsid w:val="00292D60"/>
    <w:rsid w:val="002935BB"/>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6F4"/>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68C1"/>
    <w:rsid w:val="002C7789"/>
    <w:rsid w:val="002C7EBB"/>
    <w:rsid w:val="002D0644"/>
    <w:rsid w:val="002D06C1"/>
    <w:rsid w:val="002D42B5"/>
    <w:rsid w:val="002D4F1A"/>
    <w:rsid w:val="002D6EC6"/>
    <w:rsid w:val="002D79AC"/>
    <w:rsid w:val="002E039D"/>
    <w:rsid w:val="002E1588"/>
    <w:rsid w:val="002E4D5A"/>
    <w:rsid w:val="002E4E97"/>
    <w:rsid w:val="002E6326"/>
    <w:rsid w:val="002F12CE"/>
    <w:rsid w:val="002F2F8D"/>
    <w:rsid w:val="002F30E0"/>
    <w:rsid w:val="002F35E4"/>
    <w:rsid w:val="002F3730"/>
    <w:rsid w:val="002F38E1"/>
    <w:rsid w:val="002F7AF6"/>
    <w:rsid w:val="00300E63"/>
    <w:rsid w:val="00302F5F"/>
    <w:rsid w:val="003030E7"/>
    <w:rsid w:val="0030441D"/>
    <w:rsid w:val="00304B82"/>
    <w:rsid w:val="00305B85"/>
    <w:rsid w:val="00306063"/>
    <w:rsid w:val="003101DA"/>
    <w:rsid w:val="00312420"/>
    <w:rsid w:val="00313B85"/>
    <w:rsid w:val="00317988"/>
    <w:rsid w:val="003221B4"/>
    <w:rsid w:val="003224EC"/>
    <w:rsid w:val="0032258D"/>
    <w:rsid w:val="00322E62"/>
    <w:rsid w:val="00324D13"/>
    <w:rsid w:val="00324D2A"/>
    <w:rsid w:val="00324EDD"/>
    <w:rsid w:val="00330A91"/>
    <w:rsid w:val="00331A30"/>
    <w:rsid w:val="00332CF3"/>
    <w:rsid w:val="003331E4"/>
    <w:rsid w:val="00336C64"/>
    <w:rsid w:val="00337162"/>
    <w:rsid w:val="0034194F"/>
    <w:rsid w:val="00344605"/>
    <w:rsid w:val="003474AA"/>
    <w:rsid w:val="00350D1D"/>
    <w:rsid w:val="00351664"/>
    <w:rsid w:val="00352C83"/>
    <w:rsid w:val="003615D2"/>
    <w:rsid w:val="0036429C"/>
    <w:rsid w:val="00364A53"/>
    <w:rsid w:val="003654CB"/>
    <w:rsid w:val="00365AA9"/>
    <w:rsid w:val="00365F86"/>
    <w:rsid w:val="00365F87"/>
    <w:rsid w:val="00366E89"/>
    <w:rsid w:val="003705F4"/>
    <w:rsid w:val="00370D58"/>
    <w:rsid w:val="00371316"/>
    <w:rsid w:val="003740A4"/>
    <w:rsid w:val="00376713"/>
    <w:rsid w:val="003767CB"/>
    <w:rsid w:val="00381815"/>
    <w:rsid w:val="003819AF"/>
    <w:rsid w:val="003820E9"/>
    <w:rsid w:val="00382DE7"/>
    <w:rsid w:val="00384FFC"/>
    <w:rsid w:val="00386F10"/>
    <w:rsid w:val="003872FC"/>
    <w:rsid w:val="00387ADC"/>
    <w:rsid w:val="00390020"/>
    <w:rsid w:val="003903D6"/>
    <w:rsid w:val="00390EE6"/>
    <w:rsid w:val="0039118F"/>
    <w:rsid w:val="0039166F"/>
    <w:rsid w:val="00392AD7"/>
    <w:rsid w:val="003938D9"/>
    <w:rsid w:val="00394376"/>
    <w:rsid w:val="003943FF"/>
    <w:rsid w:val="00394E5B"/>
    <w:rsid w:val="00395700"/>
    <w:rsid w:val="003974EB"/>
    <w:rsid w:val="00397649"/>
    <w:rsid w:val="00397CC5"/>
    <w:rsid w:val="003A09B3"/>
    <w:rsid w:val="003A1187"/>
    <w:rsid w:val="003A1582"/>
    <w:rsid w:val="003A4077"/>
    <w:rsid w:val="003B09AD"/>
    <w:rsid w:val="003B1F18"/>
    <w:rsid w:val="003B5BF0"/>
    <w:rsid w:val="003B60BF"/>
    <w:rsid w:val="003B6BE3"/>
    <w:rsid w:val="003B7FEE"/>
    <w:rsid w:val="003C010C"/>
    <w:rsid w:val="003C0A6C"/>
    <w:rsid w:val="003C14F8"/>
    <w:rsid w:val="003C5A43"/>
    <w:rsid w:val="003C5B95"/>
    <w:rsid w:val="003D0519"/>
    <w:rsid w:val="003D0FF6"/>
    <w:rsid w:val="003D2289"/>
    <w:rsid w:val="003D262C"/>
    <w:rsid w:val="003D6D61"/>
    <w:rsid w:val="003D7FDA"/>
    <w:rsid w:val="003E091D"/>
    <w:rsid w:val="003E1C53"/>
    <w:rsid w:val="003E2A69"/>
    <w:rsid w:val="003E2D49"/>
    <w:rsid w:val="003E2FD4"/>
    <w:rsid w:val="003E3B38"/>
    <w:rsid w:val="003E49F6"/>
    <w:rsid w:val="003E660F"/>
    <w:rsid w:val="003F015D"/>
    <w:rsid w:val="003F0841"/>
    <w:rsid w:val="003F23D3"/>
    <w:rsid w:val="003F3F08"/>
    <w:rsid w:val="003F42F8"/>
    <w:rsid w:val="003F49F1"/>
    <w:rsid w:val="003F6272"/>
    <w:rsid w:val="00400E72"/>
    <w:rsid w:val="00401400"/>
    <w:rsid w:val="00404869"/>
    <w:rsid w:val="00405884"/>
    <w:rsid w:val="00407D39"/>
    <w:rsid w:val="0041284D"/>
    <w:rsid w:val="00413B02"/>
    <w:rsid w:val="00413FEA"/>
    <w:rsid w:val="0041477A"/>
    <w:rsid w:val="004167A3"/>
    <w:rsid w:val="00426396"/>
    <w:rsid w:val="0042745A"/>
    <w:rsid w:val="00432DAA"/>
    <w:rsid w:val="00434305"/>
    <w:rsid w:val="004355CE"/>
    <w:rsid w:val="00435DF7"/>
    <w:rsid w:val="00435DF8"/>
    <w:rsid w:val="004376EA"/>
    <w:rsid w:val="00437B01"/>
    <w:rsid w:val="0044083F"/>
    <w:rsid w:val="00441AE7"/>
    <w:rsid w:val="00445423"/>
    <w:rsid w:val="00445574"/>
    <w:rsid w:val="004467FB"/>
    <w:rsid w:val="00452D6B"/>
    <w:rsid w:val="00453B52"/>
    <w:rsid w:val="00454484"/>
    <w:rsid w:val="0045517B"/>
    <w:rsid w:val="00463B77"/>
    <w:rsid w:val="00463C7B"/>
    <w:rsid w:val="004644A6"/>
    <w:rsid w:val="004647AE"/>
    <w:rsid w:val="004656BD"/>
    <w:rsid w:val="004659BD"/>
    <w:rsid w:val="004670CB"/>
    <w:rsid w:val="00470775"/>
    <w:rsid w:val="00470FE6"/>
    <w:rsid w:val="00471EF2"/>
    <w:rsid w:val="004746B1"/>
    <w:rsid w:val="0047583F"/>
    <w:rsid w:val="00475DE8"/>
    <w:rsid w:val="00481C44"/>
    <w:rsid w:val="0048447E"/>
    <w:rsid w:val="00484936"/>
    <w:rsid w:val="00485C89"/>
    <w:rsid w:val="00486BE3"/>
    <w:rsid w:val="00487C0B"/>
    <w:rsid w:val="004905E4"/>
    <w:rsid w:val="00490A89"/>
    <w:rsid w:val="00490AB4"/>
    <w:rsid w:val="00490CEF"/>
    <w:rsid w:val="00492F02"/>
    <w:rsid w:val="004939AE"/>
    <w:rsid w:val="00496A0E"/>
    <w:rsid w:val="004A12DF"/>
    <w:rsid w:val="004A17E6"/>
    <w:rsid w:val="004A1BA8"/>
    <w:rsid w:val="004A28ED"/>
    <w:rsid w:val="004A33B4"/>
    <w:rsid w:val="004A4B57"/>
    <w:rsid w:val="004A63FA"/>
    <w:rsid w:val="004B0272"/>
    <w:rsid w:val="004B2701"/>
    <w:rsid w:val="004B2E1B"/>
    <w:rsid w:val="004B3AA8"/>
    <w:rsid w:val="004B3E93"/>
    <w:rsid w:val="004B6C4D"/>
    <w:rsid w:val="004C1FBC"/>
    <w:rsid w:val="004C28B8"/>
    <w:rsid w:val="004C3F1D"/>
    <w:rsid w:val="004C458D"/>
    <w:rsid w:val="004C4A8E"/>
    <w:rsid w:val="004C7556"/>
    <w:rsid w:val="004C7E8B"/>
    <w:rsid w:val="004C7E9D"/>
    <w:rsid w:val="004C7F67"/>
    <w:rsid w:val="004D076D"/>
    <w:rsid w:val="004D0EF1"/>
    <w:rsid w:val="004D2253"/>
    <w:rsid w:val="004D398D"/>
    <w:rsid w:val="004D3EE9"/>
    <w:rsid w:val="004D4406"/>
    <w:rsid w:val="004D7221"/>
    <w:rsid w:val="004D7C42"/>
    <w:rsid w:val="004E0465"/>
    <w:rsid w:val="004E127B"/>
    <w:rsid w:val="004E14C0"/>
    <w:rsid w:val="004E1C0A"/>
    <w:rsid w:val="004E2B06"/>
    <w:rsid w:val="004E30C5"/>
    <w:rsid w:val="004E4AA5"/>
    <w:rsid w:val="004E4AEE"/>
    <w:rsid w:val="004E52CA"/>
    <w:rsid w:val="004E59E3"/>
    <w:rsid w:val="004E67C0"/>
    <w:rsid w:val="004F391A"/>
    <w:rsid w:val="004F3CFB"/>
    <w:rsid w:val="004F5682"/>
    <w:rsid w:val="004F6456"/>
    <w:rsid w:val="004F67A1"/>
    <w:rsid w:val="004F696E"/>
    <w:rsid w:val="004F6C71"/>
    <w:rsid w:val="005004C5"/>
    <w:rsid w:val="00501139"/>
    <w:rsid w:val="0050363E"/>
    <w:rsid w:val="005039BC"/>
    <w:rsid w:val="005043BB"/>
    <w:rsid w:val="00504A3D"/>
    <w:rsid w:val="00504DBD"/>
    <w:rsid w:val="00505767"/>
    <w:rsid w:val="005073F0"/>
    <w:rsid w:val="00510A7B"/>
    <w:rsid w:val="00512D4A"/>
    <w:rsid w:val="00512F6E"/>
    <w:rsid w:val="00513038"/>
    <w:rsid w:val="00513FE6"/>
    <w:rsid w:val="00514174"/>
    <w:rsid w:val="0051481A"/>
    <w:rsid w:val="00516088"/>
    <w:rsid w:val="00516B0B"/>
    <w:rsid w:val="00520BCF"/>
    <w:rsid w:val="0052199C"/>
    <w:rsid w:val="005220EC"/>
    <w:rsid w:val="00523F95"/>
    <w:rsid w:val="00524D65"/>
    <w:rsid w:val="00525B16"/>
    <w:rsid w:val="00533D04"/>
    <w:rsid w:val="00534804"/>
    <w:rsid w:val="00534BDF"/>
    <w:rsid w:val="00534DFD"/>
    <w:rsid w:val="00534E8B"/>
    <w:rsid w:val="005354EA"/>
    <w:rsid w:val="0053585F"/>
    <w:rsid w:val="00535EC4"/>
    <w:rsid w:val="00535ED9"/>
    <w:rsid w:val="0053643A"/>
    <w:rsid w:val="0053692B"/>
    <w:rsid w:val="00537F6F"/>
    <w:rsid w:val="00541853"/>
    <w:rsid w:val="00543BDA"/>
    <w:rsid w:val="005441CC"/>
    <w:rsid w:val="005479DA"/>
    <w:rsid w:val="00547BCC"/>
    <w:rsid w:val="0055013B"/>
    <w:rsid w:val="00550B9D"/>
    <w:rsid w:val="00551F6F"/>
    <w:rsid w:val="00552C81"/>
    <w:rsid w:val="00555044"/>
    <w:rsid w:val="00561475"/>
    <w:rsid w:val="0056487B"/>
    <w:rsid w:val="00564FB9"/>
    <w:rsid w:val="00567E71"/>
    <w:rsid w:val="00571EAB"/>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1C35"/>
    <w:rsid w:val="005A260B"/>
    <w:rsid w:val="005A3C3A"/>
    <w:rsid w:val="005A4A1B"/>
    <w:rsid w:val="005A7830"/>
    <w:rsid w:val="005A7FCE"/>
    <w:rsid w:val="005B0F3F"/>
    <w:rsid w:val="005B4903"/>
    <w:rsid w:val="005B51CE"/>
    <w:rsid w:val="005B5885"/>
    <w:rsid w:val="005B5CD7"/>
    <w:rsid w:val="005B6CF6"/>
    <w:rsid w:val="005B7422"/>
    <w:rsid w:val="005C0E4C"/>
    <w:rsid w:val="005C22D9"/>
    <w:rsid w:val="005C29B8"/>
    <w:rsid w:val="005C5F21"/>
    <w:rsid w:val="005C7156"/>
    <w:rsid w:val="005D0C75"/>
    <w:rsid w:val="005D114A"/>
    <w:rsid w:val="005D4171"/>
    <w:rsid w:val="005D56AA"/>
    <w:rsid w:val="005D5E17"/>
    <w:rsid w:val="005D6A95"/>
    <w:rsid w:val="005D6B2C"/>
    <w:rsid w:val="005D6D9C"/>
    <w:rsid w:val="005E2335"/>
    <w:rsid w:val="005E3097"/>
    <w:rsid w:val="005E34CA"/>
    <w:rsid w:val="005E3C18"/>
    <w:rsid w:val="005E6812"/>
    <w:rsid w:val="005E7881"/>
    <w:rsid w:val="005E78E0"/>
    <w:rsid w:val="005F0D9C"/>
    <w:rsid w:val="005F284E"/>
    <w:rsid w:val="005F2A23"/>
    <w:rsid w:val="005F4712"/>
    <w:rsid w:val="00600354"/>
    <w:rsid w:val="0060062E"/>
    <w:rsid w:val="006015CE"/>
    <w:rsid w:val="00602B2E"/>
    <w:rsid w:val="00604784"/>
    <w:rsid w:val="00606419"/>
    <w:rsid w:val="00607D29"/>
    <w:rsid w:val="00612952"/>
    <w:rsid w:val="00613C50"/>
    <w:rsid w:val="00613E1C"/>
    <w:rsid w:val="00614CC1"/>
    <w:rsid w:val="00615A9D"/>
    <w:rsid w:val="00617387"/>
    <w:rsid w:val="006205D6"/>
    <w:rsid w:val="00620E8D"/>
    <w:rsid w:val="006252D8"/>
    <w:rsid w:val="006259BC"/>
    <w:rsid w:val="0062636B"/>
    <w:rsid w:val="006309A7"/>
    <w:rsid w:val="00632182"/>
    <w:rsid w:val="00632AE0"/>
    <w:rsid w:val="006335D3"/>
    <w:rsid w:val="00633C17"/>
    <w:rsid w:val="00633F5D"/>
    <w:rsid w:val="00634D9E"/>
    <w:rsid w:val="00636E3E"/>
    <w:rsid w:val="006379F7"/>
    <w:rsid w:val="00637E4D"/>
    <w:rsid w:val="00640620"/>
    <w:rsid w:val="00641A1F"/>
    <w:rsid w:val="00641E89"/>
    <w:rsid w:val="00644DC9"/>
    <w:rsid w:val="00645904"/>
    <w:rsid w:val="00651ACB"/>
    <w:rsid w:val="00651C47"/>
    <w:rsid w:val="00652AB2"/>
    <w:rsid w:val="00652CFA"/>
    <w:rsid w:val="0065307D"/>
    <w:rsid w:val="00653FED"/>
    <w:rsid w:val="00654EC0"/>
    <w:rsid w:val="00654F9F"/>
    <w:rsid w:val="0065525B"/>
    <w:rsid w:val="00655D4F"/>
    <w:rsid w:val="006561BD"/>
    <w:rsid w:val="00656D29"/>
    <w:rsid w:val="00660F77"/>
    <w:rsid w:val="00661636"/>
    <w:rsid w:val="006640E5"/>
    <w:rsid w:val="0066458C"/>
    <w:rsid w:val="006646F1"/>
    <w:rsid w:val="006648DC"/>
    <w:rsid w:val="00664929"/>
    <w:rsid w:val="00664F62"/>
    <w:rsid w:val="006655E1"/>
    <w:rsid w:val="00672060"/>
    <w:rsid w:val="00672BFD"/>
    <w:rsid w:val="00673152"/>
    <w:rsid w:val="006770F4"/>
    <w:rsid w:val="00677A84"/>
    <w:rsid w:val="0068026D"/>
    <w:rsid w:val="00680A27"/>
    <w:rsid w:val="00680FDE"/>
    <w:rsid w:val="006816A4"/>
    <w:rsid w:val="0068197B"/>
    <w:rsid w:val="006819B8"/>
    <w:rsid w:val="006840A6"/>
    <w:rsid w:val="006850CD"/>
    <w:rsid w:val="00685AAB"/>
    <w:rsid w:val="00686B3D"/>
    <w:rsid w:val="00686DCE"/>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5E0F"/>
    <w:rsid w:val="006C6976"/>
    <w:rsid w:val="006C6DD0"/>
    <w:rsid w:val="006D04EA"/>
    <w:rsid w:val="006D16C4"/>
    <w:rsid w:val="006D3E96"/>
    <w:rsid w:val="006D4515"/>
    <w:rsid w:val="006D4BB1"/>
    <w:rsid w:val="006D6593"/>
    <w:rsid w:val="006D7AD5"/>
    <w:rsid w:val="006E23EA"/>
    <w:rsid w:val="006F03A8"/>
    <w:rsid w:val="006F201B"/>
    <w:rsid w:val="006F2ACA"/>
    <w:rsid w:val="006F2ADC"/>
    <w:rsid w:val="006F2BFE"/>
    <w:rsid w:val="006F31E9"/>
    <w:rsid w:val="006F4295"/>
    <w:rsid w:val="006F6284"/>
    <w:rsid w:val="006F6520"/>
    <w:rsid w:val="007002C5"/>
    <w:rsid w:val="00704387"/>
    <w:rsid w:val="00707669"/>
    <w:rsid w:val="007077E5"/>
    <w:rsid w:val="00710236"/>
    <w:rsid w:val="00711CBA"/>
    <w:rsid w:val="00711FB5"/>
    <w:rsid w:val="00712A01"/>
    <w:rsid w:val="00714F58"/>
    <w:rsid w:val="007166AC"/>
    <w:rsid w:val="007214B1"/>
    <w:rsid w:val="00721E92"/>
    <w:rsid w:val="00722FBF"/>
    <w:rsid w:val="00722FC2"/>
    <w:rsid w:val="00724879"/>
    <w:rsid w:val="00724E1B"/>
    <w:rsid w:val="00725949"/>
    <w:rsid w:val="00727FA2"/>
    <w:rsid w:val="007322D9"/>
    <w:rsid w:val="00732BC0"/>
    <w:rsid w:val="0073720F"/>
    <w:rsid w:val="00737796"/>
    <w:rsid w:val="00740DA8"/>
    <w:rsid w:val="0074165C"/>
    <w:rsid w:val="00742C35"/>
    <w:rsid w:val="007432CA"/>
    <w:rsid w:val="007439EB"/>
    <w:rsid w:val="00743CB4"/>
    <w:rsid w:val="00743F0A"/>
    <w:rsid w:val="007444E8"/>
    <w:rsid w:val="007452FF"/>
    <w:rsid w:val="0074548E"/>
    <w:rsid w:val="00745773"/>
    <w:rsid w:val="00746800"/>
    <w:rsid w:val="007501A8"/>
    <w:rsid w:val="00750D61"/>
    <w:rsid w:val="00750EE1"/>
    <w:rsid w:val="00751063"/>
    <w:rsid w:val="00752B4D"/>
    <w:rsid w:val="00754BCE"/>
    <w:rsid w:val="00755402"/>
    <w:rsid w:val="00756B26"/>
    <w:rsid w:val="00756EDF"/>
    <w:rsid w:val="00757F75"/>
    <w:rsid w:val="007600E3"/>
    <w:rsid w:val="00765C43"/>
    <w:rsid w:val="00765EFB"/>
    <w:rsid w:val="00766331"/>
    <w:rsid w:val="007671CA"/>
    <w:rsid w:val="00767C61"/>
    <w:rsid w:val="0077008A"/>
    <w:rsid w:val="00773C1F"/>
    <w:rsid w:val="00774DA4"/>
    <w:rsid w:val="00774F4B"/>
    <w:rsid w:val="007759AF"/>
    <w:rsid w:val="0077612D"/>
    <w:rsid w:val="00776599"/>
    <w:rsid w:val="0077662E"/>
    <w:rsid w:val="0078114B"/>
    <w:rsid w:val="00781DD2"/>
    <w:rsid w:val="00783ECF"/>
    <w:rsid w:val="0078413A"/>
    <w:rsid w:val="007959E8"/>
    <w:rsid w:val="00795E9C"/>
    <w:rsid w:val="0079609E"/>
    <w:rsid w:val="007A0521"/>
    <w:rsid w:val="007A23A6"/>
    <w:rsid w:val="007A2E12"/>
    <w:rsid w:val="007A3475"/>
    <w:rsid w:val="007A41C8"/>
    <w:rsid w:val="007A424C"/>
    <w:rsid w:val="007A4EFE"/>
    <w:rsid w:val="007A54CE"/>
    <w:rsid w:val="007A5AEB"/>
    <w:rsid w:val="007A6FD9"/>
    <w:rsid w:val="007A7C03"/>
    <w:rsid w:val="007A7FFA"/>
    <w:rsid w:val="007B04EB"/>
    <w:rsid w:val="007B0D4F"/>
    <w:rsid w:val="007B3B8A"/>
    <w:rsid w:val="007B43B7"/>
    <w:rsid w:val="007B48C9"/>
    <w:rsid w:val="007B5A3D"/>
    <w:rsid w:val="007B5B95"/>
    <w:rsid w:val="007B68EA"/>
    <w:rsid w:val="007B6D4E"/>
    <w:rsid w:val="007B70FC"/>
    <w:rsid w:val="007B7453"/>
    <w:rsid w:val="007C0A26"/>
    <w:rsid w:val="007C123C"/>
    <w:rsid w:val="007C1E8B"/>
    <w:rsid w:val="007C2D89"/>
    <w:rsid w:val="007C39F4"/>
    <w:rsid w:val="007C4593"/>
    <w:rsid w:val="007C4F13"/>
    <w:rsid w:val="007C5309"/>
    <w:rsid w:val="007C5A26"/>
    <w:rsid w:val="007C6069"/>
    <w:rsid w:val="007D06C4"/>
    <w:rsid w:val="007D1352"/>
    <w:rsid w:val="007D2508"/>
    <w:rsid w:val="007D29A1"/>
    <w:rsid w:val="007D346A"/>
    <w:rsid w:val="007D6518"/>
    <w:rsid w:val="007D76BD"/>
    <w:rsid w:val="007D7B09"/>
    <w:rsid w:val="007E0BF1"/>
    <w:rsid w:val="007E1C58"/>
    <w:rsid w:val="007E295C"/>
    <w:rsid w:val="007F0ED8"/>
    <w:rsid w:val="007F0F63"/>
    <w:rsid w:val="007F621A"/>
    <w:rsid w:val="007F75CE"/>
    <w:rsid w:val="008013A4"/>
    <w:rsid w:val="008027CE"/>
    <w:rsid w:val="00802F42"/>
    <w:rsid w:val="00804383"/>
    <w:rsid w:val="00804BB7"/>
    <w:rsid w:val="00804D41"/>
    <w:rsid w:val="00810257"/>
    <w:rsid w:val="00810449"/>
    <w:rsid w:val="008104F5"/>
    <w:rsid w:val="00811072"/>
    <w:rsid w:val="00811369"/>
    <w:rsid w:val="00812A99"/>
    <w:rsid w:val="00815419"/>
    <w:rsid w:val="008163C8"/>
    <w:rsid w:val="008164A1"/>
    <w:rsid w:val="00817325"/>
    <w:rsid w:val="008203DB"/>
    <w:rsid w:val="008209E6"/>
    <w:rsid w:val="00823303"/>
    <w:rsid w:val="008233B2"/>
    <w:rsid w:val="00823A9F"/>
    <w:rsid w:val="00823C85"/>
    <w:rsid w:val="00824791"/>
    <w:rsid w:val="00825138"/>
    <w:rsid w:val="00825324"/>
    <w:rsid w:val="008269DD"/>
    <w:rsid w:val="00830621"/>
    <w:rsid w:val="00831220"/>
    <w:rsid w:val="0083348C"/>
    <w:rsid w:val="00834980"/>
    <w:rsid w:val="008349C1"/>
    <w:rsid w:val="008373D3"/>
    <w:rsid w:val="00840617"/>
    <w:rsid w:val="00840F84"/>
    <w:rsid w:val="00842747"/>
    <w:rsid w:val="00842A47"/>
    <w:rsid w:val="00843C13"/>
    <w:rsid w:val="0084411A"/>
    <w:rsid w:val="008454F8"/>
    <w:rsid w:val="0085173A"/>
    <w:rsid w:val="008523D0"/>
    <w:rsid w:val="00856316"/>
    <w:rsid w:val="008603CE"/>
    <w:rsid w:val="008620FC"/>
    <w:rsid w:val="008627A5"/>
    <w:rsid w:val="00862F1C"/>
    <w:rsid w:val="00863E05"/>
    <w:rsid w:val="00865ACA"/>
    <w:rsid w:val="00865D28"/>
    <w:rsid w:val="00865F85"/>
    <w:rsid w:val="0086669D"/>
    <w:rsid w:val="00867C10"/>
    <w:rsid w:val="00870439"/>
    <w:rsid w:val="00870DA1"/>
    <w:rsid w:val="008710E0"/>
    <w:rsid w:val="00880B00"/>
    <w:rsid w:val="00883F93"/>
    <w:rsid w:val="00884DB3"/>
    <w:rsid w:val="00885A9D"/>
    <w:rsid w:val="008864F6"/>
    <w:rsid w:val="0089049D"/>
    <w:rsid w:val="008928C9"/>
    <w:rsid w:val="008930CB"/>
    <w:rsid w:val="008938DC"/>
    <w:rsid w:val="00893FD1"/>
    <w:rsid w:val="00894828"/>
    <w:rsid w:val="00894836"/>
    <w:rsid w:val="00895172"/>
    <w:rsid w:val="00895680"/>
    <w:rsid w:val="00896DFF"/>
    <w:rsid w:val="0089762C"/>
    <w:rsid w:val="008A0880"/>
    <w:rsid w:val="008A1893"/>
    <w:rsid w:val="008A24B9"/>
    <w:rsid w:val="008A3215"/>
    <w:rsid w:val="008A51F4"/>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498B"/>
    <w:rsid w:val="008C619A"/>
    <w:rsid w:val="008D0CE8"/>
    <w:rsid w:val="008D2D1D"/>
    <w:rsid w:val="008D44A2"/>
    <w:rsid w:val="008D453D"/>
    <w:rsid w:val="008D53AD"/>
    <w:rsid w:val="008D5527"/>
    <w:rsid w:val="008D562B"/>
    <w:rsid w:val="008D5733"/>
    <w:rsid w:val="008D5AB5"/>
    <w:rsid w:val="008D622B"/>
    <w:rsid w:val="008D666C"/>
    <w:rsid w:val="008D7B54"/>
    <w:rsid w:val="008E0C9D"/>
    <w:rsid w:val="008E1648"/>
    <w:rsid w:val="008E1B3E"/>
    <w:rsid w:val="008E2319"/>
    <w:rsid w:val="008E4BB6"/>
    <w:rsid w:val="008E4FAC"/>
    <w:rsid w:val="008E5518"/>
    <w:rsid w:val="008E6A84"/>
    <w:rsid w:val="008F01E5"/>
    <w:rsid w:val="008F0CDC"/>
    <w:rsid w:val="008F17A3"/>
    <w:rsid w:val="008F1ED3"/>
    <w:rsid w:val="008F23A5"/>
    <w:rsid w:val="008F4C29"/>
    <w:rsid w:val="008F70BD"/>
    <w:rsid w:val="008F788F"/>
    <w:rsid w:val="008F7EA2"/>
    <w:rsid w:val="00902722"/>
    <w:rsid w:val="009027BC"/>
    <w:rsid w:val="0090479A"/>
    <w:rsid w:val="00904F0B"/>
    <w:rsid w:val="009062E6"/>
    <w:rsid w:val="00911BE5"/>
    <w:rsid w:val="00913CA9"/>
    <w:rsid w:val="009145AE"/>
    <w:rsid w:val="009146CE"/>
    <w:rsid w:val="0091482F"/>
    <w:rsid w:val="00914CA7"/>
    <w:rsid w:val="00915C3E"/>
    <w:rsid w:val="009161A8"/>
    <w:rsid w:val="00917079"/>
    <w:rsid w:val="009209F7"/>
    <w:rsid w:val="009245F5"/>
    <w:rsid w:val="009249EC"/>
    <w:rsid w:val="009273B3"/>
    <w:rsid w:val="009276E9"/>
    <w:rsid w:val="009305B5"/>
    <w:rsid w:val="009331C1"/>
    <w:rsid w:val="00933713"/>
    <w:rsid w:val="00937745"/>
    <w:rsid w:val="009429D5"/>
    <w:rsid w:val="00942BF1"/>
    <w:rsid w:val="00945180"/>
    <w:rsid w:val="00945428"/>
    <w:rsid w:val="0094607B"/>
    <w:rsid w:val="00950B28"/>
    <w:rsid w:val="009519B9"/>
    <w:rsid w:val="009534F7"/>
    <w:rsid w:val="00953604"/>
    <w:rsid w:val="0095496B"/>
    <w:rsid w:val="00960C94"/>
    <w:rsid w:val="009610DC"/>
    <w:rsid w:val="00961490"/>
    <w:rsid w:val="00962F7C"/>
    <w:rsid w:val="0096381A"/>
    <w:rsid w:val="00964439"/>
    <w:rsid w:val="00965E04"/>
    <w:rsid w:val="009674AD"/>
    <w:rsid w:val="009704DB"/>
    <w:rsid w:val="00970CDC"/>
    <w:rsid w:val="00972689"/>
    <w:rsid w:val="00972DEB"/>
    <w:rsid w:val="00977010"/>
    <w:rsid w:val="00977D02"/>
    <w:rsid w:val="009809BB"/>
    <w:rsid w:val="00982966"/>
    <w:rsid w:val="0098364B"/>
    <w:rsid w:val="0098452D"/>
    <w:rsid w:val="009874A5"/>
    <w:rsid w:val="009911AF"/>
    <w:rsid w:val="00991875"/>
    <w:rsid w:val="00991F92"/>
    <w:rsid w:val="00992985"/>
    <w:rsid w:val="00993889"/>
    <w:rsid w:val="0099551B"/>
    <w:rsid w:val="00997BF1"/>
    <w:rsid w:val="009A089C"/>
    <w:rsid w:val="009A098F"/>
    <w:rsid w:val="009A118E"/>
    <w:rsid w:val="009A21CD"/>
    <w:rsid w:val="009A278C"/>
    <w:rsid w:val="009A2BC2"/>
    <w:rsid w:val="009A3E70"/>
    <w:rsid w:val="009A42C1"/>
    <w:rsid w:val="009A449E"/>
    <w:rsid w:val="009A5429"/>
    <w:rsid w:val="009A72AD"/>
    <w:rsid w:val="009B09E0"/>
    <w:rsid w:val="009B0BC5"/>
    <w:rsid w:val="009B1247"/>
    <w:rsid w:val="009B6029"/>
    <w:rsid w:val="009B6971"/>
    <w:rsid w:val="009C25A7"/>
    <w:rsid w:val="009C27F1"/>
    <w:rsid w:val="009C3152"/>
    <w:rsid w:val="009C4CFA"/>
    <w:rsid w:val="009C5070"/>
    <w:rsid w:val="009D112C"/>
    <w:rsid w:val="009D47FA"/>
    <w:rsid w:val="009D4C5B"/>
    <w:rsid w:val="009D4ED3"/>
    <w:rsid w:val="009D50D2"/>
    <w:rsid w:val="009D6BCA"/>
    <w:rsid w:val="009D772D"/>
    <w:rsid w:val="009D7B9C"/>
    <w:rsid w:val="009E0F62"/>
    <w:rsid w:val="009E34B1"/>
    <w:rsid w:val="009E4A58"/>
    <w:rsid w:val="009E5A2D"/>
    <w:rsid w:val="009E5AB2"/>
    <w:rsid w:val="009E6219"/>
    <w:rsid w:val="009E6660"/>
    <w:rsid w:val="009F03B3"/>
    <w:rsid w:val="00A0096C"/>
    <w:rsid w:val="00A01757"/>
    <w:rsid w:val="00A028C0"/>
    <w:rsid w:val="00A02BAE"/>
    <w:rsid w:val="00A067C5"/>
    <w:rsid w:val="00A06A6B"/>
    <w:rsid w:val="00A07E47"/>
    <w:rsid w:val="00A122E0"/>
    <w:rsid w:val="00A12498"/>
    <w:rsid w:val="00A129D0"/>
    <w:rsid w:val="00A12C33"/>
    <w:rsid w:val="00A138BA"/>
    <w:rsid w:val="00A14C8E"/>
    <w:rsid w:val="00A153D9"/>
    <w:rsid w:val="00A15F09"/>
    <w:rsid w:val="00A16552"/>
    <w:rsid w:val="00A169B6"/>
    <w:rsid w:val="00A2271D"/>
    <w:rsid w:val="00A237D5"/>
    <w:rsid w:val="00A26D2D"/>
    <w:rsid w:val="00A30EFC"/>
    <w:rsid w:val="00A31984"/>
    <w:rsid w:val="00A32D73"/>
    <w:rsid w:val="00A3367B"/>
    <w:rsid w:val="00A3597D"/>
    <w:rsid w:val="00A36DD1"/>
    <w:rsid w:val="00A4006C"/>
    <w:rsid w:val="00A40091"/>
    <w:rsid w:val="00A4030F"/>
    <w:rsid w:val="00A41C79"/>
    <w:rsid w:val="00A41CB5"/>
    <w:rsid w:val="00A42CDF"/>
    <w:rsid w:val="00A430E9"/>
    <w:rsid w:val="00A4452E"/>
    <w:rsid w:val="00A4472C"/>
    <w:rsid w:val="00A4474C"/>
    <w:rsid w:val="00A44E69"/>
    <w:rsid w:val="00A4661E"/>
    <w:rsid w:val="00A55BD6"/>
    <w:rsid w:val="00A55D50"/>
    <w:rsid w:val="00A5638E"/>
    <w:rsid w:val="00A57142"/>
    <w:rsid w:val="00A6134C"/>
    <w:rsid w:val="00A648CD"/>
    <w:rsid w:val="00A6537A"/>
    <w:rsid w:val="00A65812"/>
    <w:rsid w:val="00A669DE"/>
    <w:rsid w:val="00A67866"/>
    <w:rsid w:val="00A7082F"/>
    <w:rsid w:val="00A70B07"/>
    <w:rsid w:val="00A723F8"/>
    <w:rsid w:val="00A723FE"/>
    <w:rsid w:val="00A77186"/>
    <w:rsid w:val="00A77C6B"/>
    <w:rsid w:val="00A77CCB"/>
    <w:rsid w:val="00A83D8D"/>
    <w:rsid w:val="00A8446B"/>
    <w:rsid w:val="00A8473F"/>
    <w:rsid w:val="00A862D6"/>
    <w:rsid w:val="00A8715E"/>
    <w:rsid w:val="00A924F8"/>
    <w:rsid w:val="00A9295B"/>
    <w:rsid w:val="00A93B09"/>
    <w:rsid w:val="00A94247"/>
    <w:rsid w:val="00A952D7"/>
    <w:rsid w:val="00A963F7"/>
    <w:rsid w:val="00A96AD8"/>
    <w:rsid w:val="00A97EE4"/>
    <w:rsid w:val="00AA052C"/>
    <w:rsid w:val="00AA1E45"/>
    <w:rsid w:val="00AA4286"/>
    <w:rsid w:val="00AA456B"/>
    <w:rsid w:val="00AA57F5"/>
    <w:rsid w:val="00AA672E"/>
    <w:rsid w:val="00AA6EC9"/>
    <w:rsid w:val="00AB37AC"/>
    <w:rsid w:val="00AB41D5"/>
    <w:rsid w:val="00AB6309"/>
    <w:rsid w:val="00AB6430"/>
    <w:rsid w:val="00AB6C5F"/>
    <w:rsid w:val="00AB7129"/>
    <w:rsid w:val="00AC159F"/>
    <w:rsid w:val="00AC27A6"/>
    <w:rsid w:val="00AC30F7"/>
    <w:rsid w:val="00AC3A5A"/>
    <w:rsid w:val="00AC4D95"/>
    <w:rsid w:val="00AC5DF4"/>
    <w:rsid w:val="00AC7D48"/>
    <w:rsid w:val="00AD0AEF"/>
    <w:rsid w:val="00AD11B7"/>
    <w:rsid w:val="00AD1A94"/>
    <w:rsid w:val="00AD1C05"/>
    <w:rsid w:val="00AD4126"/>
    <w:rsid w:val="00AD421C"/>
    <w:rsid w:val="00AD44FA"/>
    <w:rsid w:val="00AD5571"/>
    <w:rsid w:val="00AD7497"/>
    <w:rsid w:val="00AE070A"/>
    <w:rsid w:val="00AE101C"/>
    <w:rsid w:val="00AE3545"/>
    <w:rsid w:val="00AE37E5"/>
    <w:rsid w:val="00AE5EB4"/>
    <w:rsid w:val="00AE6740"/>
    <w:rsid w:val="00AF0B96"/>
    <w:rsid w:val="00AF0C18"/>
    <w:rsid w:val="00AF0FA5"/>
    <w:rsid w:val="00AF1B99"/>
    <w:rsid w:val="00AF3F58"/>
    <w:rsid w:val="00AF47C5"/>
    <w:rsid w:val="00AF5398"/>
    <w:rsid w:val="00B00F75"/>
    <w:rsid w:val="00B049AF"/>
    <w:rsid w:val="00B07242"/>
    <w:rsid w:val="00B10534"/>
    <w:rsid w:val="00B113DB"/>
    <w:rsid w:val="00B11862"/>
    <w:rsid w:val="00B11D06"/>
    <w:rsid w:val="00B11D8A"/>
    <w:rsid w:val="00B12981"/>
    <w:rsid w:val="00B147DD"/>
    <w:rsid w:val="00B156FD"/>
    <w:rsid w:val="00B21F61"/>
    <w:rsid w:val="00B23060"/>
    <w:rsid w:val="00B261F1"/>
    <w:rsid w:val="00B265BC"/>
    <w:rsid w:val="00B31868"/>
    <w:rsid w:val="00B31E98"/>
    <w:rsid w:val="00B31FB1"/>
    <w:rsid w:val="00B33952"/>
    <w:rsid w:val="00B33C5E"/>
    <w:rsid w:val="00B341D0"/>
    <w:rsid w:val="00B342F4"/>
    <w:rsid w:val="00B34369"/>
    <w:rsid w:val="00B34DC2"/>
    <w:rsid w:val="00B378E5"/>
    <w:rsid w:val="00B4346D"/>
    <w:rsid w:val="00B440F4"/>
    <w:rsid w:val="00B447A5"/>
    <w:rsid w:val="00B4654C"/>
    <w:rsid w:val="00B47213"/>
    <w:rsid w:val="00B47293"/>
    <w:rsid w:val="00B50B84"/>
    <w:rsid w:val="00B50E50"/>
    <w:rsid w:val="00B52120"/>
    <w:rsid w:val="00B54ABC"/>
    <w:rsid w:val="00B54DDE"/>
    <w:rsid w:val="00B55862"/>
    <w:rsid w:val="00B56FBE"/>
    <w:rsid w:val="00B60ACF"/>
    <w:rsid w:val="00B6236A"/>
    <w:rsid w:val="00B62B58"/>
    <w:rsid w:val="00B64E92"/>
    <w:rsid w:val="00B65149"/>
    <w:rsid w:val="00B66567"/>
    <w:rsid w:val="00B66724"/>
    <w:rsid w:val="00B66F52"/>
    <w:rsid w:val="00B66FE5"/>
    <w:rsid w:val="00B72880"/>
    <w:rsid w:val="00B737CE"/>
    <w:rsid w:val="00B758BF"/>
    <w:rsid w:val="00B77EC8"/>
    <w:rsid w:val="00B827A6"/>
    <w:rsid w:val="00B831CE"/>
    <w:rsid w:val="00B844C7"/>
    <w:rsid w:val="00B86677"/>
    <w:rsid w:val="00B87131"/>
    <w:rsid w:val="00B939B1"/>
    <w:rsid w:val="00B93E90"/>
    <w:rsid w:val="00B96D40"/>
    <w:rsid w:val="00B97386"/>
    <w:rsid w:val="00BA263B"/>
    <w:rsid w:val="00BA3401"/>
    <w:rsid w:val="00BA42B2"/>
    <w:rsid w:val="00BA517E"/>
    <w:rsid w:val="00BA58D4"/>
    <w:rsid w:val="00BA5B9E"/>
    <w:rsid w:val="00BA68EA"/>
    <w:rsid w:val="00BA6972"/>
    <w:rsid w:val="00BA7C9A"/>
    <w:rsid w:val="00BB10A3"/>
    <w:rsid w:val="00BB2286"/>
    <w:rsid w:val="00BB3385"/>
    <w:rsid w:val="00BB3453"/>
    <w:rsid w:val="00BB55BA"/>
    <w:rsid w:val="00BB5F8F"/>
    <w:rsid w:val="00BB657A"/>
    <w:rsid w:val="00BB7050"/>
    <w:rsid w:val="00BC1A4E"/>
    <w:rsid w:val="00BC5DC7"/>
    <w:rsid w:val="00BC6B8B"/>
    <w:rsid w:val="00BC73D8"/>
    <w:rsid w:val="00BD5116"/>
    <w:rsid w:val="00BD52D7"/>
    <w:rsid w:val="00BD5AD2"/>
    <w:rsid w:val="00BD6C33"/>
    <w:rsid w:val="00BD7001"/>
    <w:rsid w:val="00BE0668"/>
    <w:rsid w:val="00BE217E"/>
    <w:rsid w:val="00BE22F3"/>
    <w:rsid w:val="00BE589A"/>
    <w:rsid w:val="00BE5B52"/>
    <w:rsid w:val="00BE64AE"/>
    <w:rsid w:val="00BE7B8D"/>
    <w:rsid w:val="00BF0993"/>
    <w:rsid w:val="00BF10A9"/>
    <w:rsid w:val="00BF1703"/>
    <w:rsid w:val="00BF1BE4"/>
    <w:rsid w:val="00BF231C"/>
    <w:rsid w:val="00BF37C0"/>
    <w:rsid w:val="00BF51E5"/>
    <w:rsid w:val="00BF74A6"/>
    <w:rsid w:val="00C013AD"/>
    <w:rsid w:val="00C04904"/>
    <w:rsid w:val="00C056B3"/>
    <w:rsid w:val="00C05911"/>
    <w:rsid w:val="00C071D9"/>
    <w:rsid w:val="00C103E5"/>
    <w:rsid w:val="00C13319"/>
    <w:rsid w:val="00C13EE9"/>
    <w:rsid w:val="00C21540"/>
    <w:rsid w:val="00C21603"/>
    <w:rsid w:val="00C21906"/>
    <w:rsid w:val="00C21BFA"/>
    <w:rsid w:val="00C22148"/>
    <w:rsid w:val="00C24C8D"/>
    <w:rsid w:val="00C25FE2"/>
    <w:rsid w:val="00C26B53"/>
    <w:rsid w:val="00C279B2"/>
    <w:rsid w:val="00C3103B"/>
    <w:rsid w:val="00C31E0F"/>
    <w:rsid w:val="00C33E50"/>
    <w:rsid w:val="00C34C20"/>
    <w:rsid w:val="00C3594C"/>
    <w:rsid w:val="00C35A3E"/>
    <w:rsid w:val="00C35DCB"/>
    <w:rsid w:val="00C36E78"/>
    <w:rsid w:val="00C42130"/>
    <w:rsid w:val="00C42333"/>
    <w:rsid w:val="00C423A4"/>
    <w:rsid w:val="00C434BE"/>
    <w:rsid w:val="00C44BF5"/>
    <w:rsid w:val="00C45E27"/>
    <w:rsid w:val="00C521D6"/>
    <w:rsid w:val="00C55232"/>
    <w:rsid w:val="00C553A4"/>
    <w:rsid w:val="00C55A06"/>
    <w:rsid w:val="00C55D03"/>
    <w:rsid w:val="00C575A7"/>
    <w:rsid w:val="00C601BC"/>
    <w:rsid w:val="00C6329F"/>
    <w:rsid w:val="00C63340"/>
    <w:rsid w:val="00C63D0B"/>
    <w:rsid w:val="00C643F9"/>
    <w:rsid w:val="00C64E95"/>
    <w:rsid w:val="00C705A1"/>
    <w:rsid w:val="00C71372"/>
    <w:rsid w:val="00C72410"/>
    <w:rsid w:val="00C7287F"/>
    <w:rsid w:val="00C73AF5"/>
    <w:rsid w:val="00C73D0A"/>
    <w:rsid w:val="00C75E73"/>
    <w:rsid w:val="00C80CB8"/>
    <w:rsid w:val="00C819F8"/>
    <w:rsid w:val="00C8248C"/>
    <w:rsid w:val="00C84E33"/>
    <w:rsid w:val="00C855BC"/>
    <w:rsid w:val="00C86D4E"/>
    <w:rsid w:val="00C86D6F"/>
    <w:rsid w:val="00C900B5"/>
    <w:rsid w:val="00C905FC"/>
    <w:rsid w:val="00C9154E"/>
    <w:rsid w:val="00C91655"/>
    <w:rsid w:val="00C92D03"/>
    <w:rsid w:val="00C9319C"/>
    <w:rsid w:val="00C9435D"/>
    <w:rsid w:val="00C94DF2"/>
    <w:rsid w:val="00C9624F"/>
    <w:rsid w:val="00C96741"/>
    <w:rsid w:val="00CA0DD0"/>
    <w:rsid w:val="00CA21B4"/>
    <w:rsid w:val="00CA2D1B"/>
    <w:rsid w:val="00CA375D"/>
    <w:rsid w:val="00CA662A"/>
    <w:rsid w:val="00CA7AFD"/>
    <w:rsid w:val="00CA7C3C"/>
    <w:rsid w:val="00CA7FC9"/>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239"/>
    <w:rsid w:val="00CD4A20"/>
    <w:rsid w:val="00CD50A1"/>
    <w:rsid w:val="00CD519E"/>
    <w:rsid w:val="00CD6F9A"/>
    <w:rsid w:val="00CE0618"/>
    <w:rsid w:val="00CE0C4F"/>
    <w:rsid w:val="00CE2968"/>
    <w:rsid w:val="00CE30EA"/>
    <w:rsid w:val="00CF048A"/>
    <w:rsid w:val="00CF155A"/>
    <w:rsid w:val="00CF1C91"/>
    <w:rsid w:val="00CF2947"/>
    <w:rsid w:val="00CF686F"/>
    <w:rsid w:val="00CF6930"/>
    <w:rsid w:val="00CF6E60"/>
    <w:rsid w:val="00CF7BCA"/>
    <w:rsid w:val="00D008FD"/>
    <w:rsid w:val="00D0321C"/>
    <w:rsid w:val="00D035EC"/>
    <w:rsid w:val="00D06AB1"/>
    <w:rsid w:val="00D072ED"/>
    <w:rsid w:val="00D07A16"/>
    <w:rsid w:val="00D1067E"/>
    <w:rsid w:val="00D10F50"/>
    <w:rsid w:val="00D11272"/>
    <w:rsid w:val="00D126F5"/>
    <w:rsid w:val="00D13B02"/>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5217B"/>
    <w:rsid w:val="00D529ED"/>
    <w:rsid w:val="00D53DE5"/>
    <w:rsid w:val="00D55191"/>
    <w:rsid w:val="00D61D0C"/>
    <w:rsid w:val="00D66846"/>
    <w:rsid w:val="00D66EB4"/>
    <w:rsid w:val="00D67415"/>
    <w:rsid w:val="00D675FB"/>
    <w:rsid w:val="00D71F25"/>
    <w:rsid w:val="00D72A9C"/>
    <w:rsid w:val="00D73C9D"/>
    <w:rsid w:val="00D75F98"/>
    <w:rsid w:val="00D77031"/>
    <w:rsid w:val="00D82F02"/>
    <w:rsid w:val="00D84941"/>
    <w:rsid w:val="00D84FA1"/>
    <w:rsid w:val="00D851F0"/>
    <w:rsid w:val="00D859D7"/>
    <w:rsid w:val="00D86DB7"/>
    <w:rsid w:val="00D9071A"/>
    <w:rsid w:val="00D926D0"/>
    <w:rsid w:val="00D93030"/>
    <w:rsid w:val="00D950E1"/>
    <w:rsid w:val="00D952A6"/>
    <w:rsid w:val="00D976C2"/>
    <w:rsid w:val="00D97F99"/>
    <w:rsid w:val="00DA117D"/>
    <w:rsid w:val="00DA1E08"/>
    <w:rsid w:val="00DA1E0C"/>
    <w:rsid w:val="00DA24F8"/>
    <w:rsid w:val="00DA28E8"/>
    <w:rsid w:val="00DA31F0"/>
    <w:rsid w:val="00DA38D3"/>
    <w:rsid w:val="00DA3932"/>
    <w:rsid w:val="00DA3AFC"/>
    <w:rsid w:val="00DA448C"/>
    <w:rsid w:val="00DA64F8"/>
    <w:rsid w:val="00DA6C15"/>
    <w:rsid w:val="00DA7008"/>
    <w:rsid w:val="00DB0258"/>
    <w:rsid w:val="00DB32C5"/>
    <w:rsid w:val="00DB38EE"/>
    <w:rsid w:val="00DB498B"/>
    <w:rsid w:val="00DB66CA"/>
    <w:rsid w:val="00DB6BCA"/>
    <w:rsid w:val="00DB73F7"/>
    <w:rsid w:val="00DB744F"/>
    <w:rsid w:val="00DC0321"/>
    <w:rsid w:val="00DC3067"/>
    <w:rsid w:val="00DC370B"/>
    <w:rsid w:val="00DC5B90"/>
    <w:rsid w:val="00DC6631"/>
    <w:rsid w:val="00DD00FF"/>
    <w:rsid w:val="00DD0619"/>
    <w:rsid w:val="00DD07FB"/>
    <w:rsid w:val="00DD1F31"/>
    <w:rsid w:val="00DD25C6"/>
    <w:rsid w:val="00DD4FE5"/>
    <w:rsid w:val="00DD54B0"/>
    <w:rsid w:val="00DD57EE"/>
    <w:rsid w:val="00DD6B11"/>
    <w:rsid w:val="00DD6BCC"/>
    <w:rsid w:val="00DE0A4B"/>
    <w:rsid w:val="00DE2410"/>
    <w:rsid w:val="00DE2939"/>
    <w:rsid w:val="00DE37B7"/>
    <w:rsid w:val="00DE6E81"/>
    <w:rsid w:val="00DE6F56"/>
    <w:rsid w:val="00DE703F"/>
    <w:rsid w:val="00DE71F5"/>
    <w:rsid w:val="00DE7595"/>
    <w:rsid w:val="00DF1961"/>
    <w:rsid w:val="00DF2D04"/>
    <w:rsid w:val="00DF44DE"/>
    <w:rsid w:val="00DF5F11"/>
    <w:rsid w:val="00DF68BB"/>
    <w:rsid w:val="00E00A58"/>
    <w:rsid w:val="00E01138"/>
    <w:rsid w:val="00E02DFB"/>
    <w:rsid w:val="00E030F9"/>
    <w:rsid w:val="00E0311A"/>
    <w:rsid w:val="00E03138"/>
    <w:rsid w:val="00E06404"/>
    <w:rsid w:val="00E11A85"/>
    <w:rsid w:val="00E12495"/>
    <w:rsid w:val="00E15CCD"/>
    <w:rsid w:val="00E166D4"/>
    <w:rsid w:val="00E202EF"/>
    <w:rsid w:val="00E210B5"/>
    <w:rsid w:val="00E23D99"/>
    <w:rsid w:val="00E24427"/>
    <w:rsid w:val="00E2552F"/>
    <w:rsid w:val="00E3137A"/>
    <w:rsid w:val="00E32CCF"/>
    <w:rsid w:val="00E34A98"/>
    <w:rsid w:val="00E35D1E"/>
    <w:rsid w:val="00E364F9"/>
    <w:rsid w:val="00E365FA"/>
    <w:rsid w:val="00E36789"/>
    <w:rsid w:val="00E418B0"/>
    <w:rsid w:val="00E42301"/>
    <w:rsid w:val="00E43427"/>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66CB9"/>
    <w:rsid w:val="00E6711D"/>
    <w:rsid w:val="00E677D0"/>
    <w:rsid w:val="00E70388"/>
    <w:rsid w:val="00E70F92"/>
    <w:rsid w:val="00E74C54"/>
    <w:rsid w:val="00E7723B"/>
    <w:rsid w:val="00E77A03"/>
    <w:rsid w:val="00E822E8"/>
    <w:rsid w:val="00E82554"/>
    <w:rsid w:val="00E82606"/>
    <w:rsid w:val="00E846C8"/>
    <w:rsid w:val="00E848C9"/>
    <w:rsid w:val="00E84957"/>
    <w:rsid w:val="00E84A55"/>
    <w:rsid w:val="00E855CC"/>
    <w:rsid w:val="00E85BFF"/>
    <w:rsid w:val="00E86AAD"/>
    <w:rsid w:val="00E86F80"/>
    <w:rsid w:val="00E90391"/>
    <w:rsid w:val="00E906C2"/>
    <w:rsid w:val="00E9311F"/>
    <w:rsid w:val="00E934D1"/>
    <w:rsid w:val="00E93A0A"/>
    <w:rsid w:val="00E94279"/>
    <w:rsid w:val="00E94AF0"/>
    <w:rsid w:val="00E95D13"/>
    <w:rsid w:val="00E95DD3"/>
    <w:rsid w:val="00E969D5"/>
    <w:rsid w:val="00EA55C9"/>
    <w:rsid w:val="00EA58D1"/>
    <w:rsid w:val="00EA61BC"/>
    <w:rsid w:val="00EA681A"/>
    <w:rsid w:val="00EA735B"/>
    <w:rsid w:val="00EB0867"/>
    <w:rsid w:val="00EB17DE"/>
    <w:rsid w:val="00EB1E69"/>
    <w:rsid w:val="00EB2086"/>
    <w:rsid w:val="00EB5EDF"/>
    <w:rsid w:val="00EB60FE"/>
    <w:rsid w:val="00EB74DB"/>
    <w:rsid w:val="00EC5359"/>
    <w:rsid w:val="00EC562A"/>
    <w:rsid w:val="00ED067A"/>
    <w:rsid w:val="00ED1681"/>
    <w:rsid w:val="00ED2B50"/>
    <w:rsid w:val="00ED6F58"/>
    <w:rsid w:val="00EE0350"/>
    <w:rsid w:val="00EE0719"/>
    <w:rsid w:val="00EE0E80"/>
    <w:rsid w:val="00EE1B35"/>
    <w:rsid w:val="00EE49AA"/>
    <w:rsid w:val="00EE54A6"/>
    <w:rsid w:val="00EE54BD"/>
    <w:rsid w:val="00EE613F"/>
    <w:rsid w:val="00EE7295"/>
    <w:rsid w:val="00EE7869"/>
    <w:rsid w:val="00EF054A"/>
    <w:rsid w:val="00EF1D9E"/>
    <w:rsid w:val="00EF3235"/>
    <w:rsid w:val="00EF7E72"/>
    <w:rsid w:val="00F01A1D"/>
    <w:rsid w:val="00F06D37"/>
    <w:rsid w:val="00F07B9D"/>
    <w:rsid w:val="00F11586"/>
    <w:rsid w:val="00F1183B"/>
    <w:rsid w:val="00F11C9F"/>
    <w:rsid w:val="00F12263"/>
    <w:rsid w:val="00F1409D"/>
    <w:rsid w:val="00F14214"/>
    <w:rsid w:val="00F157A9"/>
    <w:rsid w:val="00F17958"/>
    <w:rsid w:val="00F22990"/>
    <w:rsid w:val="00F23DB1"/>
    <w:rsid w:val="00F25BB6"/>
    <w:rsid w:val="00F26B7E"/>
    <w:rsid w:val="00F27A3B"/>
    <w:rsid w:val="00F33817"/>
    <w:rsid w:val="00F33E04"/>
    <w:rsid w:val="00F3560E"/>
    <w:rsid w:val="00F35815"/>
    <w:rsid w:val="00F37359"/>
    <w:rsid w:val="00F377C5"/>
    <w:rsid w:val="00F40F3D"/>
    <w:rsid w:val="00F41590"/>
    <w:rsid w:val="00F420D5"/>
    <w:rsid w:val="00F451EA"/>
    <w:rsid w:val="00F45447"/>
    <w:rsid w:val="00F456C6"/>
    <w:rsid w:val="00F4577B"/>
    <w:rsid w:val="00F46496"/>
    <w:rsid w:val="00F474D0"/>
    <w:rsid w:val="00F50179"/>
    <w:rsid w:val="00F515EE"/>
    <w:rsid w:val="00F547DC"/>
    <w:rsid w:val="00F56511"/>
    <w:rsid w:val="00F609AA"/>
    <w:rsid w:val="00F6194E"/>
    <w:rsid w:val="00F623AC"/>
    <w:rsid w:val="00F6412A"/>
    <w:rsid w:val="00F64531"/>
    <w:rsid w:val="00F65893"/>
    <w:rsid w:val="00F65F04"/>
    <w:rsid w:val="00F66A4A"/>
    <w:rsid w:val="00F66F55"/>
    <w:rsid w:val="00F70FDF"/>
    <w:rsid w:val="00F71E22"/>
    <w:rsid w:val="00F72142"/>
    <w:rsid w:val="00F72AE7"/>
    <w:rsid w:val="00F735A9"/>
    <w:rsid w:val="00F76042"/>
    <w:rsid w:val="00F766CE"/>
    <w:rsid w:val="00F77592"/>
    <w:rsid w:val="00F80C26"/>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127D"/>
    <w:rsid w:val="00FA36C0"/>
    <w:rsid w:val="00FA4DAC"/>
    <w:rsid w:val="00FA662D"/>
    <w:rsid w:val="00FA73B1"/>
    <w:rsid w:val="00FB0CB9"/>
    <w:rsid w:val="00FB220E"/>
    <w:rsid w:val="00FB231D"/>
    <w:rsid w:val="00FB45F1"/>
    <w:rsid w:val="00FB4A2F"/>
    <w:rsid w:val="00FB4A32"/>
    <w:rsid w:val="00FB4A72"/>
    <w:rsid w:val="00FB54E8"/>
    <w:rsid w:val="00FB7054"/>
    <w:rsid w:val="00FC17B7"/>
    <w:rsid w:val="00FC2CB7"/>
    <w:rsid w:val="00FC4090"/>
    <w:rsid w:val="00FC55B4"/>
    <w:rsid w:val="00FC6F08"/>
    <w:rsid w:val="00FD00E6"/>
    <w:rsid w:val="00FD09A1"/>
    <w:rsid w:val="00FD1C3C"/>
    <w:rsid w:val="00FD220E"/>
    <w:rsid w:val="00FD2A7C"/>
    <w:rsid w:val="00FD5152"/>
    <w:rsid w:val="00FD59EB"/>
    <w:rsid w:val="00FD7299"/>
    <w:rsid w:val="00FE1FBE"/>
    <w:rsid w:val="00FE3901"/>
    <w:rsid w:val="00FE39D3"/>
    <w:rsid w:val="00FE3D5A"/>
    <w:rsid w:val="00FE4BCE"/>
    <w:rsid w:val="00FE54AE"/>
    <w:rsid w:val="00FE576A"/>
    <w:rsid w:val="00FE635C"/>
    <w:rsid w:val="00FE7E79"/>
    <w:rsid w:val="00FF3E7D"/>
    <w:rsid w:val="00FF5B99"/>
    <w:rsid w:val="00FF730C"/>
    <w:rsid w:val="00FF73F4"/>
    <w:rsid w:val="00FF74ED"/>
    <w:rsid w:val="00FF7CE4"/>
    <w:rsid w:val="00FF7E39"/>
    <w:rsid w:val="2078683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semiHidden="0" w:name="toc 3"/>
    <w:lsdException w:uiPriority="39" w:semiHidden="0" w:name="toc 4"/>
    <w:lsdException w:uiPriority="39" w:semiHidden="0" w:name="toc 5"/>
    <w:lsdException w:qFormat="1" w:uiPriority="39" w:semiHidden="0" w:name="toc 6"/>
    <w:lsdException w:uiPriority="39" w:semiHidden="0" w:name="toc 7"/>
    <w:lsdException w:uiPriority="39" w:semiHidden="0" w:name="toc 8"/>
    <w:lsdException w:uiPriority="39" w:semiHidden="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8"/>
    <w:qFormat/>
    <w:uiPriority w:val="0"/>
    <w:pPr>
      <w:spacing w:after="120"/>
    </w:pPr>
  </w:style>
  <w:style w:type="paragraph" w:styleId="14">
    <w:name w:val="toc 5"/>
    <w:basedOn w:val="1"/>
    <w:next w:val="1"/>
    <w:autoRedefine/>
    <w:unhideWhenUsed/>
    <w:uiPriority w:val="39"/>
    <w:pPr>
      <w:ind w:left="839"/>
    </w:pPr>
    <w:rPr>
      <w:rFonts w:ascii="宋体"/>
    </w:rPr>
  </w:style>
  <w:style w:type="paragraph" w:styleId="15">
    <w:name w:val="toc 3"/>
    <w:basedOn w:val="1"/>
    <w:next w:val="1"/>
    <w:autoRedefine/>
    <w:unhideWhenUsed/>
    <w:uiPriority w:val="39"/>
    <w:pPr>
      <w:spacing w:line="300" w:lineRule="exact"/>
      <w:ind w:left="420"/>
    </w:pPr>
    <w:rPr>
      <w:rFonts w:ascii="宋体"/>
    </w:rPr>
  </w:style>
  <w:style w:type="paragraph" w:styleId="16">
    <w:name w:val="toc 8"/>
    <w:basedOn w:val="1"/>
    <w:next w:val="1"/>
    <w:autoRedefine/>
    <w:unhideWhenUsed/>
    <w:uiPriority w:val="39"/>
    <w:pPr>
      <w:adjustRightInd/>
      <w:spacing w:line="240" w:lineRule="auto"/>
      <w:ind w:left="2940" w:leftChars="1400"/>
    </w:pPr>
    <w:rPr>
      <w:rFonts w:asciiTheme="minorHAnsi" w:hAnsiTheme="minorHAnsi" w:eastAsiaTheme="minorEastAsia" w:cstheme="minorBidi"/>
      <w:szCs w:val="22"/>
    </w:rPr>
  </w:style>
  <w:style w:type="paragraph" w:styleId="17">
    <w:name w:val="Balloon Text"/>
    <w:basedOn w:val="1"/>
    <w:link w:val="47"/>
    <w:semiHidden/>
    <w:unhideWhenUsed/>
    <w:qFormat/>
    <w:uiPriority w:val="99"/>
    <w:rPr>
      <w:sz w:val="18"/>
      <w:szCs w:val="18"/>
    </w:rPr>
  </w:style>
  <w:style w:type="paragraph" w:styleId="18">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uiPriority w:val="39"/>
    <w:pPr>
      <w:tabs>
        <w:tab w:val="right" w:leader="dot" w:pos="9344"/>
      </w:tabs>
      <w:spacing w:line="300" w:lineRule="exact"/>
      <w:ind w:left="629"/>
    </w:pPr>
    <w:rPr>
      <w:rFonts w:ascii="宋体"/>
    </w:rPr>
  </w:style>
  <w:style w:type="paragraph" w:styleId="22">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toc 9"/>
    <w:basedOn w:val="1"/>
    <w:next w:val="1"/>
    <w:autoRedefine/>
    <w:unhideWhenUsed/>
    <w:uiPriority w:val="39"/>
    <w:pPr>
      <w:adjustRightInd/>
      <w:spacing w:line="240" w:lineRule="auto"/>
      <w:ind w:left="3360" w:leftChars="1600"/>
    </w:pPr>
    <w:rPr>
      <w:rFonts w:asciiTheme="minorHAnsi" w:hAnsiTheme="minorHAnsi" w:eastAsiaTheme="minorEastAsia" w:cstheme="minorBidi"/>
      <w:szCs w:val="22"/>
    </w:rPr>
  </w:style>
  <w:style w:type="paragraph" w:styleId="27">
    <w:name w:val="Title"/>
    <w:basedOn w:val="1"/>
    <w:link w:val="50"/>
    <w:qFormat/>
    <w:uiPriority w:val="0"/>
    <w:pPr>
      <w:spacing w:before="240" w:after="60"/>
      <w:jc w:val="center"/>
      <w:outlineLvl w:val="0"/>
    </w:pPr>
    <w:rPr>
      <w:rFonts w:ascii="Arial" w:hAnsi="Arial" w:cs="Arial"/>
      <w:b/>
      <w:bCs/>
      <w:sz w:val="32"/>
      <w:szCs w:val="32"/>
    </w:rPr>
  </w:style>
  <w:style w:type="table" w:styleId="29">
    <w:name w:val="Table Grid"/>
    <w:basedOn w:val="28"/>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Char"/>
    <w:link w:val="2"/>
    <w:uiPriority w:val="0"/>
    <w:rPr>
      <w:rFonts w:ascii="Times New Roman" w:hAnsi="Times New Roman" w:eastAsia="宋体" w:cs="Times New Roman"/>
      <w:b/>
      <w:bCs/>
      <w:kern w:val="44"/>
      <w:sz w:val="44"/>
      <w:szCs w:val="44"/>
    </w:rPr>
  </w:style>
  <w:style w:type="character" w:customStyle="1" w:styleId="37">
    <w:name w:val="标题 2 Char"/>
    <w:link w:val="3"/>
    <w:uiPriority w:val="0"/>
    <w:rPr>
      <w:rFonts w:ascii="Arial" w:hAnsi="Arial" w:eastAsia="黑体" w:cs="Times New Roman"/>
      <w:b/>
      <w:bCs/>
      <w:sz w:val="32"/>
      <w:szCs w:val="32"/>
    </w:rPr>
  </w:style>
  <w:style w:type="character" w:customStyle="1" w:styleId="38">
    <w:name w:val="标题 3 Char"/>
    <w:link w:val="4"/>
    <w:uiPriority w:val="0"/>
    <w:rPr>
      <w:rFonts w:ascii="Times New Roman" w:hAnsi="Times New Roman" w:eastAsia="宋体" w:cs="Times New Roman"/>
      <w:b/>
      <w:bCs/>
      <w:sz w:val="32"/>
      <w:szCs w:val="32"/>
    </w:rPr>
  </w:style>
  <w:style w:type="character" w:customStyle="1" w:styleId="39">
    <w:name w:val="标题 4 Char"/>
    <w:link w:val="5"/>
    <w:uiPriority w:val="0"/>
    <w:rPr>
      <w:rFonts w:ascii="Arial" w:hAnsi="Arial" w:eastAsia="黑体" w:cs="Times New Roman"/>
      <w:b/>
      <w:bCs/>
      <w:sz w:val="28"/>
      <w:szCs w:val="28"/>
    </w:rPr>
  </w:style>
  <w:style w:type="character" w:customStyle="1" w:styleId="40">
    <w:name w:val="标题 5 Char"/>
    <w:link w:val="6"/>
    <w:qFormat/>
    <w:uiPriority w:val="0"/>
    <w:rPr>
      <w:rFonts w:ascii="Times New Roman" w:hAnsi="Times New Roman" w:eastAsia="宋体" w:cs="Times New Roman"/>
      <w:b/>
      <w:bCs/>
      <w:sz w:val="28"/>
      <w:szCs w:val="28"/>
    </w:rPr>
  </w:style>
  <w:style w:type="character" w:customStyle="1" w:styleId="41">
    <w:name w:val="标题 6 Char"/>
    <w:link w:val="7"/>
    <w:qFormat/>
    <w:uiPriority w:val="0"/>
    <w:rPr>
      <w:rFonts w:ascii="Arial" w:hAnsi="Arial" w:eastAsia="黑体" w:cs="Times New Roman"/>
      <w:b/>
      <w:bCs/>
      <w:sz w:val="24"/>
      <w:szCs w:val="24"/>
    </w:rPr>
  </w:style>
  <w:style w:type="character" w:customStyle="1" w:styleId="42">
    <w:name w:val="标题 7 Char"/>
    <w:link w:val="8"/>
    <w:qFormat/>
    <w:uiPriority w:val="0"/>
    <w:rPr>
      <w:rFonts w:ascii="Times New Roman" w:hAnsi="Times New Roman" w:eastAsia="宋体" w:cs="Times New Roman"/>
      <w:b/>
      <w:bCs/>
      <w:sz w:val="24"/>
      <w:szCs w:val="24"/>
    </w:rPr>
  </w:style>
  <w:style w:type="character" w:customStyle="1" w:styleId="43">
    <w:name w:val="标题 8 Char"/>
    <w:link w:val="9"/>
    <w:qFormat/>
    <w:uiPriority w:val="0"/>
    <w:rPr>
      <w:rFonts w:ascii="Arial" w:hAnsi="Arial" w:eastAsia="黑体" w:cs="Times New Roman"/>
      <w:sz w:val="24"/>
      <w:szCs w:val="24"/>
    </w:rPr>
  </w:style>
  <w:style w:type="character" w:customStyle="1" w:styleId="44">
    <w:name w:val="标题 9 Char"/>
    <w:link w:val="10"/>
    <w:qFormat/>
    <w:uiPriority w:val="0"/>
    <w:rPr>
      <w:rFonts w:ascii="Arial" w:hAnsi="Arial" w:eastAsia="黑体" w:cs="Times New Roman"/>
      <w:szCs w:val="21"/>
    </w:rPr>
  </w:style>
  <w:style w:type="character" w:customStyle="1" w:styleId="45">
    <w:name w:val="页眉 Char"/>
    <w:link w:val="19"/>
    <w:qFormat/>
    <w:uiPriority w:val="99"/>
    <w:rPr>
      <w:rFonts w:ascii="Times New Roman" w:hAnsi="Times New Roman" w:eastAsia="宋体" w:cs="Times New Roman"/>
      <w:sz w:val="18"/>
      <w:szCs w:val="18"/>
    </w:rPr>
  </w:style>
  <w:style w:type="character" w:customStyle="1" w:styleId="46">
    <w:name w:val="页脚 Char"/>
    <w:link w:val="18"/>
    <w:qFormat/>
    <w:uiPriority w:val="99"/>
    <w:rPr>
      <w:rFonts w:ascii="宋体" w:hAnsi="Times New Roman" w:eastAsia="宋体" w:cs="Times New Roman"/>
      <w:sz w:val="18"/>
      <w:szCs w:val="18"/>
    </w:rPr>
  </w:style>
  <w:style w:type="character" w:customStyle="1" w:styleId="47">
    <w:name w:val="批注框文本 Char"/>
    <w:link w:val="17"/>
    <w:semiHidden/>
    <w:qFormat/>
    <w:uiPriority w:val="99"/>
    <w:rPr>
      <w:sz w:val="18"/>
      <w:szCs w:val="18"/>
    </w:rPr>
  </w:style>
  <w:style w:type="paragraph" w:styleId="48">
    <w:name w:val="Quote"/>
    <w:basedOn w:val="1"/>
    <w:next w:val="1"/>
    <w:link w:val="49"/>
    <w:qFormat/>
    <w:uiPriority w:val="29"/>
    <w:rPr>
      <w:i/>
      <w:iCs/>
      <w:color w:val="000000"/>
    </w:rPr>
  </w:style>
  <w:style w:type="character" w:customStyle="1" w:styleId="49">
    <w:name w:val="引用 Char"/>
    <w:link w:val="48"/>
    <w:qFormat/>
    <w:uiPriority w:val="29"/>
    <w:rPr>
      <w:i/>
      <w:iCs/>
      <w:color w:val="000000"/>
    </w:rPr>
  </w:style>
  <w:style w:type="character" w:customStyle="1" w:styleId="50">
    <w:name w:val="标题 Char"/>
    <w:link w:val="27"/>
    <w:qFormat/>
    <w:uiPriority w:val="0"/>
    <w:rPr>
      <w:rFonts w:ascii="Arial" w:hAnsi="Arial" w:eastAsia="宋体" w:cs="Arial"/>
      <w:b/>
      <w:bCs/>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Lines="50" w:afterLines="50"/>
      <w:ind w:left="3119"/>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Char"/>
    <w:link w:val="13"/>
    <w:qFormat/>
    <w:uiPriority w:val="0"/>
    <w:rPr>
      <w:rFonts w:ascii="Times New Roman" w:hAnsi="Times New Roman" w:eastAsia="宋体" w:cs="Times New Roman"/>
      <w:szCs w:val="20"/>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pPr>
  </w:style>
  <w:style w:type="paragraph" w:customStyle="1" w:styleId="93">
    <w:name w:val="标准文件_目录标题"/>
    <w:basedOn w:val="1"/>
    <w:qFormat/>
    <w:uiPriority w:val="0"/>
    <w:pPr>
      <w:spacing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uiPriority w:val="0"/>
    <w:pPr>
      <w:numPr>
        <w:numId w:val="10"/>
      </w:numPr>
      <w:ind w:left="0" w:firstLine="200"/>
    </w:pPr>
  </w:style>
  <w:style w:type="paragraph" w:customStyle="1" w:styleId="96">
    <w:name w:val="标准文件_三级条标题"/>
    <w:basedOn w:val="67"/>
    <w:next w:val="58"/>
    <w:qFormat/>
    <w:uiPriority w:val="0"/>
    <w:pPr>
      <w:widowControl/>
      <w:numPr>
        <w:ilvl w:val="4"/>
      </w:numPr>
      <w:ind w:left="0"/>
      <w:outlineLvl w:val="3"/>
    </w:pPr>
  </w:style>
  <w:style w:type="character" w:customStyle="1" w:styleId="97">
    <w:name w:val="Subtle Reference"/>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1">
    <w:name w:val="脚注文本 Char"/>
    <w:link w:val="22"/>
    <w:semiHidden/>
    <w:qFormat/>
    <w:uiPriority w:val="0"/>
    <w:rPr>
      <w:rFonts w:ascii="宋体" w:hAnsi="Times New Roman" w:eastAsia="宋体" w:cs="Times New Roman"/>
      <w:sz w:val="18"/>
      <w:szCs w:val="18"/>
    </w:rPr>
  </w:style>
  <w:style w:type="paragraph" w:customStyle="1" w:styleId="102">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Lines="100" w:afterLines="100"/>
      <w:ind w:left="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Lines="50" w:afterLines="5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autoRedefine/>
    <w:semiHidden/>
    <w:qFormat/>
    <w:uiPriority w:val="0"/>
    <w:pPr>
      <w:adjustRightInd/>
      <w:spacing w:line="240" w:lineRule="auto"/>
      <w:jc w:val="left"/>
    </w:pPr>
    <w:rPr>
      <w:bCs/>
      <w:iCs/>
    </w:rPr>
  </w:style>
  <w:style w:type="paragraph" w:customStyle="1" w:styleId="145">
    <w:name w:val="目录 31"/>
    <w:basedOn w:val="1"/>
    <w:next w:val="1"/>
    <w:autoRedefine/>
    <w:semiHidden/>
    <w:qFormat/>
    <w:uiPriority w:val="0"/>
    <w:pPr>
      <w:spacing w:line="240" w:lineRule="auto"/>
    </w:pPr>
    <w:rPr>
      <w:rFonts w:ascii="宋体" w:hAnsi="宋体"/>
      <w:iCs/>
    </w:rPr>
  </w:style>
  <w:style w:type="paragraph" w:customStyle="1" w:styleId="146">
    <w:name w:val="目录 41"/>
    <w:basedOn w:val="1"/>
    <w:next w:val="1"/>
    <w:autoRedefine/>
    <w:semiHidden/>
    <w:qFormat/>
    <w:uiPriority w:val="0"/>
    <w:pPr>
      <w:adjustRightInd/>
      <w:spacing w:line="240" w:lineRule="auto"/>
      <w:jc w:val="left"/>
    </w:pPr>
  </w:style>
  <w:style w:type="paragraph" w:customStyle="1" w:styleId="147">
    <w:name w:val="目录 51"/>
    <w:basedOn w:val="1"/>
    <w:next w:val="1"/>
    <w:autoRedefine/>
    <w:semiHidden/>
    <w:qFormat/>
    <w:uiPriority w:val="0"/>
    <w:pPr>
      <w:spacing w:line="240" w:lineRule="auto"/>
    </w:pPr>
    <w:rPr>
      <w:rFonts w:ascii="宋体" w:hAnsi="宋体"/>
    </w:rPr>
  </w:style>
  <w:style w:type="paragraph" w:customStyle="1" w:styleId="148">
    <w:name w:val="目录 61"/>
    <w:basedOn w:val="1"/>
    <w:next w:val="1"/>
    <w:autoRedefine/>
    <w:semiHidden/>
    <w:qFormat/>
    <w:uiPriority w:val="0"/>
    <w:pPr>
      <w:adjustRightInd/>
      <w:spacing w:line="240" w:lineRule="auto"/>
      <w:jc w:val="left"/>
    </w:pPr>
  </w:style>
  <w:style w:type="paragraph" w:customStyle="1" w:styleId="149">
    <w:name w:val="目录 71"/>
    <w:basedOn w:val="148"/>
    <w:autoRedefine/>
    <w:semiHidden/>
    <w:qFormat/>
    <w:uiPriority w:val="0"/>
    <w:pPr>
      <w:ind w:left="1260"/>
    </w:pPr>
  </w:style>
  <w:style w:type="paragraph" w:customStyle="1" w:styleId="150">
    <w:name w:val="目录 81"/>
    <w:basedOn w:val="149"/>
    <w:autoRedefine/>
    <w:semiHidden/>
    <w:qFormat/>
    <w:uiPriority w:val="0"/>
    <w:pPr>
      <w:ind w:left="1470"/>
    </w:pPr>
  </w:style>
  <w:style w:type="paragraph" w:customStyle="1" w:styleId="151">
    <w:name w:val="目录 91"/>
    <w:basedOn w:val="150"/>
    <w:autoRedefine/>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framePr w:wrap="around"/>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wrap="around"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Lines="0" w:afterLines="0"/>
      <w:outlineLvl w:val="9"/>
    </w:pPr>
    <w:rPr>
      <w:rFonts w:ascii="宋体" w:eastAsia="宋体"/>
    </w:rPr>
  </w:style>
  <w:style w:type="paragraph" w:customStyle="1" w:styleId="165">
    <w:name w:val="标准文件_五级无标题"/>
    <w:basedOn w:val="105"/>
    <w:qFormat/>
    <w:uiPriority w:val="0"/>
    <w:pPr>
      <w:spacing w:beforeLines="0" w:afterLines="0"/>
      <w:outlineLvl w:val="9"/>
    </w:pPr>
    <w:rPr>
      <w:rFonts w:ascii="宋体" w:eastAsia="宋体"/>
    </w:rPr>
  </w:style>
  <w:style w:type="paragraph" w:customStyle="1" w:styleId="166">
    <w:name w:val="标准文件_三级无标题"/>
    <w:basedOn w:val="96"/>
    <w:qFormat/>
    <w:uiPriority w:val="0"/>
    <w:pPr>
      <w:spacing w:beforeLines="0" w:afterLines="0"/>
      <w:outlineLvl w:val="9"/>
    </w:pPr>
    <w:rPr>
      <w:rFonts w:ascii="宋体" w:eastAsia="宋体"/>
    </w:rPr>
  </w:style>
  <w:style w:type="paragraph" w:customStyle="1" w:styleId="167">
    <w:name w:val="标准文件_二级无标题"/>
    <w:basedOn w:val="67"/>
    <w:qFormat/>
    <w:uiPriority w:val="0"/>
    <w:pPr>
      <w:spacing w:beforeLines="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Lines="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uiPriority w:val="0"/>
    <w:rPr>
      <w:rFonts w:ascii="宋体" w:hAnsi="Times New Roman" w:eastAsia="宋体" w:cs="Times New Roman"/>
      <w:sz w:val="21"/>
      <w:lang w:val="en-US" w:eastAsia="zh-CN" w:bidi="ar-SA"/>
    </w:rPr>
  </w:style>
  <w:style w:type="paragraph" w:customStyle="1" w:styleId="174">
    <w:name w:val="标准文件_三级项"/>
    <w:basedOn w:val="1"/>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ind w:left="783"/>
    </w:pPr>
    <w:rPr>
      <w:rFonts w:ascii="宋体" w:hAnsi="Times New Roman"/>
      <w:sz w:val="18"/>
      <w:szCs w:val="18"/>
    </w:rPr>
  </w:style>
  <w:style w:type="paragraph" w:customStyle="1" w:styleId="176">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30"/>
    <w:semiHidden/>
    <w:qFormat/>
    <w:uiPriority w:val="99"/>
    <w:rPr>
      <w:color w:val="808080"/>
    </w:rPr>
  </w:style>
  <w:style w:type="paragraph" w:customStyle="1" w:styleId="189">
    <w:name w:val="标准文件_二级项2"/>
    <w:basedOn w:val="58"/>
    <w:qFormat/>
    <w:uiPriority w:val="0"/>
    <w:pPr>
      <w:numPr>
        <w:ilvl w:val="1"/>
        <w:numId w:val="21"/>
      </w:numPr>
      <w:ind w:left="1271" w:hanging="420" w:firstLineChars="0"/>
    </w:pPr>
  </w:style>
  <w:style w:type="paragraph" w:customStyle="1" w:styleId="190">
    <w:name w:val="标准文件_三级项2"/>
    <w:basedOn w:val="58"/>
    <w:qFormat/>
    <w:uiPriority w:val="0"/>
    <w:pPr>
      <w:numPr>
        <w:ilvl w:val="0"/>
        <w:numId w:val="30"/>
      </w:numPr>
      <w:spacing w:line="300" w:lineRule="exact"/>
      <w:ind w:left="1276" w:hanging="425" w:firstLineChars="0"/>
    </w:pPr>
    <w:rPr>
      <w:rFonts w:ascii="Times New Roman"/>
    </w:rPr>
  </w:style>
  <w:style w:type="paragraph" w:customStyle="1" w:styleId="191">
    <w:name w:val="标准文件_一级项2"/>
    <w:basedOn w:val="58"/>
    <w:qFormat/>
    <w:uiPriority w:val="0"/>
    <w:pPr>
      <w:numPr>
        <w:ilvl w:val="0"/>
        <w:numId w:val="31"/>
      </w:numPr>
      <w:spacing w:line="300" w:lineRule="exact"/>
      <w:ind w:left="1271" w:hanging="420"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30"/>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wrap="around" w:vAnchor="page" w:hAnchor="page" w:x="1419" w:y="14097"/>
    </w:pPr>
  </w:style>
  <w:style w:type="paragraph" w:customStyle="1" w:styleId="196">
    <w:name w:val="其他实施日期"/>
    <w:basedOn w:val="156"/>
    <w:qFormat/>
    <w:uiPriority w:val="0"/>
    <w:pPr>
      <w:framePr w:w="3997" w:h="471" w:hRule="exact" w:vSpace="181" w:wrap="around" w:vAnchor="page" w:hAnchor="page" w:x="7089" w:y="14097"/>
    </w:pPr>
  </w:style>
  <w:style w:type="paragraph" w:customStyle="1" w:styleId="197">
    <w:name w:val="标准文件_文件编号"/>
    <w:basedOn w:val="58"/>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framePr/>
      <w:spacing w:before="57"/>
    </w:pPr>
    <w:rPr>
      <w:sz w:val="21"/>
    </w:rPr>
  </w:style>
  <w:style w:type="paragraph" w:customStyle="1" w:styleId="199">
    <w:name w:val="标准文件_文件名称"/>
    <w:basedOn w:val="58"/>
    <w:next w:val="58"/>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Lines="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Lines="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Lines="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Lines="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Lines="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Lines="0" w:afterLines="0" w:line="276" w:lineRule="auto"/>
      <w:outlineLvl w:val="9"/>
    </w:pPr>
    <w:rPr>
      <w:rFonts w:ascii="宋体" w:eastAsia="宋体"/>
    </w:rPr>
  </w:style>
  <w:style w:type="paragraph" w:customStyle="1" w:styleId="214">
    <w:name w:val="标准文件_附录二级无标题"/>
    <w:basedOn w:val="81"/>
    <w:uiPriority w:val="0"/>
    <w:pPr>
      <w:spacing w:beforeLines="0" w:afterLines="0" w:line="276" w:lineRule="auto"/>
      <w:outlineLvl w:val="9"/>
    </w:pPr>
    <w:rPr>
      <w:rFonts w:ascii="宋体" w:eastAsia="宋体"/>
    </w:rPr>
  </w:style>
  <w:style w:type="paragraph" w:customStyle="1" w:styleId="215">
    <w:name w:val="标准文件_附录三级无标题"/>
    <w:basedOn w:val="83"/>
    <w:qFormat/>
    <w:uiPriority w:val="0"/>
    <w:pPr>
      <w:spacing w:beforeLines="0" w:afterLines="0" w:line="276" w:lineRule="auto"/>
      <w:outlineLvl w:val="9"/>
    </w:pPr>
    <w:rPr>
      <w:rFonts w:ascii="宋体" w:eastAsia="宋体"/>
    </w:rPr>
  </w:style>
  <w:style w:type="paragraph" w:customStyle="1" w:styleId="216">
    <w:name w:val="标准文件_附录四级无标题"/>
    <w:basedOn w:val="84"/>
    <w:qFormat/>
    <w:uiPriority w:val="0"/>
    <w:pPr>
      <w:spacing w:beforeLines="0" w:afterLines="0" w:line="276" w:lineRule="auto"/>
      <w:outlineLvl w:val="9"/>
    </w:pPr>
    <w:rPr>
      <w:rFonts w:ascii="宋体" w:eastAsia="宋体"/>
    </w:rPr>
  </w:style>
  <w:style w:type="paragraph" w:customStyle="1" w:styleId="217">
    <w:name w:val="标准文件_附录五级无标题"/>
    <w:basedOn w:val="86"/>
    <w:qFormat/>
    <w:uiPriority w:val="0"/>
    <w:pPr>
      <w:spacing w:beforeLines="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Lines="0" w:afterLines="0" w:line="276" w:lineRule="auto"/>
    </w:pPr>
    <w:rPr>
      <w:rFonts w:ascii="宋体" w:eastAsia="宋体"/>
    </w:rPr>
  </w:style>
  <w:style w:type="paragraph" w:customStyle="1" w:styleId="219">
    <w:name w:val="标准文件_引言二级无标题"/>
    <w:basedOn w:val="203"/>
    <w:next w:val="58"/>
    <w:qFormat/>
    <w:uiPriority w:val="0"/>
    <w:pPr>
      <w:spacing w:beforeLines="0" w:afterLines="0" w:line="276" w:lineRule="auto"/>
    </w:pPr>
    <w:rPr>
      <w:rFonts w:ascii="宋体" w:eastAsia="宋体"/>
    </w:rPr>
  </w:style>
  <w:style w:type="paragraph" w:customStyle="1" w:styleId="220">
    <w:name w:val="标准文件_引言三级无标题"/>
    <w:basedOn w:val="204"/>
    <w:next w:val="58"/>
    <w:qFormat/>
    <w:uiPriority w:val="0"/>
    <w:pPr>
      <w:spacing w:beforeLines="0" w:afterLines="0" w:line="276" w:lineRule="auto"/>
    </w:pPr>
    <w:rPr>
      <w:rFonts w:ascii="宋体" w:eastAsia="宋体"/>
    </w:rPr>
  </w:style>
  <w:style w:type="paragraph" w:customStyle="1" w:styleId="221">
    <w:name w:val="标准文件_引言四级无标题"/>
    <w:basedOn w:val="205"/>
    <w:next w:val="58"/>
    <w:qFormat/>
    <w:uiPriority w:val="0"/>
    <w:pPr>
      <w:spacing w:beforeLines="0" w:afterLines="0" w:line="276" w:lineRule="auto"/>
    </w:pPr>
    <w:rPr>
      <w:rFonts w:ascii="宋体" w:eastAsia="宋体"/>
    </w:rPr>
  </w:style>
  <w:style w:type="paragraph" w:customStyle="1" w:styleId="222">
    <w:name w:val="标准文件_引言五级无标题"/>
    <w:basedOn w:val="206"/>
    <w:next w:val="58"/>
    <w:qFormat/>
    <w:uiPriority w:val="0"/>
    <w:pPr>
      <w:spacing w:beforeLines="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30"/>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7A7D5AFA53F48A6BD6C4D3CF8CA738D"/>
        <w:style w:val=""/>
        <w:category>
          <w:name w:val="常规"/>
          <w:gallery w:val="placeholder"/>
        </w:category>
        <w:types>
          <w:type w:val="bbPlcHdr"/>
        </w:types>
        <w:behaviors>
          <w:behavior w:val="content"/>
        </w:behaviors>
        <w:description w:val=""/>
        <w:guid w:val="{A4A92983-A9F3-424D-9C9A-8BF6C92D7993}"/>
      </w:docPartPr>
      <w:docPartBody>
        <w:p w14:paraId="3B6592B1">
          <w:pPr>
            <w:pStyle w:val="5"/>
          </w:pPr>
          <w:r>
            <w:rPr>
              <w:rStyle w:val="4"/>
              <w:rFonts w:hint="eastAsia"/>
            </w:rPr>
            <w:t>单击或点击此处输入文字。</w:t>
          </w:r>
        </w:p>
      </w:docPartBody>
    </w:docPart>
    <w:docPart>
      <w:docPartPr>
        <w:name w:val="77DB8BC229194CFB9AA06EF0F4EF8ACB"/>
        <w:style w:val=""/>
        <w:category>
          <w:name w:val="常规"/>
          <w:gallery w:val="placeholder"/>
        </w:category>
        <w:types>
          <w:type w:val="bbPlcHdr"/>
        </w:types>
        <w:behaviors>
          <w:behavior w:val="content"/>
        </w:behaviors>
        <w:description w:val=""/>
        <w:guid w:val="{D8326CBE-68F6-433E-9254-6CEF95F4B79D}"/>
      </w:docPartPr>
      <w:docPartBody>
        <w:p w14:paraId="621AE19D">
          <w:pPr>
            <w:pStyle w:val="6"/>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52775D"/>
    <w:rsid w:val="00004412"/>
    <w:rsid w:val="00021CEC"/>
    <w:rsid w:val="00047BB6"/>
    <w:rsid w:val="000F7111"/>
    <w:rsid w:val="00150342"/>
    <w:rsid w:val="0018186D"/>
    <w:rsid w:val="0019426F"/>
    <w:rsid w:val="001E6C87"/>
    <w:rsid w:val="0023135F"/>
    <w:rsid w:val="002324D6"/>
    <w:rsid w:val="002428C7"/>
    <w:rsid w:val="00296C48"/>
    <w:rsid w:val="0032035B"/>
    <w:rsid w:val="00362971"/>
    <w:rsid w:val="0036390C"/>
    <w:rsid w:val="0037709D"/>
    <w:rsid w:val="003972F0"/>
    <w:rsid w:val="003A6564"/>
    <w:rsid w:val="003D5A2E"/>
    <w:rsid w:val="00414C9B"/>
    <w:rsid w:val="004306A9"/>
    <w:rsid w:val="00447875"/>
    <w:rsid w:val="004532F4"/>
    <w:rsid w:val="00454A97"/>
    <w:rsid w:val="0049348E"/>
    <w:rsid w:val="004958A4"/>
    <w:rsid w:val="004977E4"/>
    <w:rsid w:val="004B727A"/>
    <w:rsid w:val="004C2DE9"/>
    <w:rsid w:val="004C31D5"/>
    <w:rsid w:val="004D26A2"/>
    <w:rsid w:val="0052775D"/>
    <w:rsid w:val="005A30B3"/>
    <w:rsid w:val="005D114A"/>
    <w:rsid w:val="005F1EED"/>
    <w:rsid w:val="005F77EF"/>
    <w:rsid w:val="00640F18"/>
    <w:rsid w:val="00657110"/>
    <w:rsid w:val="00661A69"/>
    <w:rsid w:val="006757D7"/>
    <w:rsid w:val="006A147C"/>
    <w:rsid w:val="00772E7E"/>
    <w:rsid w:val="007916F8"/>
    <w:rsid w:val="007938EF"/>
    <w:rsid w:val="007B0788"/>
    <w:rsid w:val="007D67B0"/>
    <w:rsid w:val="0083360C"/>
    <w:rsid w:val="00865393"/>
    <w:rsid w:val="00881108"/>
    <w:rsid w:val="00892153"/>
    <w:rsid w:val="008A443C"/>
    <w:rsid w:val="008A4EE3"/>
    <w:rsid w:val="009035A8"/>
    <w:rsid w:val="00941D24"/>
    <w:rsid w:val="009D0375"/>
    <w:rsid w:val="00A11FB6"/>
    <w:rsid w:val="00A12811"/>
    <w:rsid w:val="00A96964"/>
    <w:rsid w:val="00B12AF0"/>
    <w:rsid w:val="00B16017"/>
    <w:rsid w:val="00B24014"/>
    <w:rsid w:val="00B61C6C"/>
    <w:rsid w:val="00B82732"/>
    <w:rsid w:val="00B84BA9"/>
    <w:rsid w:val="00B8632E"/>
    <w:rsid w:val="00B87B41"/>
    <w:rsid w:val="00BA6972"/>
    <w:rsid w:val="00BB7BA1"/>
    <w:rsid w:val="00BC2054"/>
    <w:rsid w:val="00BF26D3"/>
    <w:rsid w:val="00C55B00"/>
    <w:rsid w:val="00C930D2"/>
    <w:rsid w:val="00D968EC"/>
    <w:rsid w:val="00D979EE"/>
    <w:rsid w:val="00DD7561"/>
    <w:rsid w:val="00DF00BF"/>
    <w:rsid w:val="00E22D4C"/>
    <w:rsid w:val="00E26ACF"/>
    <w:rsid w:val="00E600C9"/>
    <w:rsid w:val="00E86E65"/>
    <w:rsid w:val="00F2111B"/>
    <w:rsid w:val="00F40127"/>
    <w:rsid w:val="00F420C9"/>
    <w:rsid w:val="00F552EC"/>
    <w:rsid w:val="00F824FB"/>
    <w:rsid w:val="00FD70B9"/>
    <w:rsid w:val="00FD727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D7A7D5AFA53F48A6BD6C4D3CF8CA738D"/>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77DB8BC229194CFB9AA06EF0F4EF8ACB"/>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91D241-0E0D-46A5-90A6-1ACFC270A0E1}">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15</Pages>
  <Words>7593</Words>
  <Characters>7979</Characters>
  <Lines>65</Lines>
  <Paragraphs>18</Paragraphs>
  <TotalTime>31</TotalTime>
  <ScaleCrop>false</ScaleCrop>
  <LinksUpToDate>false</LinksUpToDate>
  <CharactersWithSpaces>8058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2024-06-06T07:01:00Z</dcterms:created>
  <dc:creator>微软用户</dc:creator>
  <dc:description>&lt;config cover="true" show_menu="true" version="1.0.0" doctype="SDKXY"&gt;_x000d_
&lt;/config&gt;</dc:description>
  <cp:lastModifiedBy>mmme</cp:lastModifiedBy>
  <cp:lastPrinted>2024-06-11T00:52:00Z</cp:lastPrinted>
  <dcterms:modified xsi:type="dcterms:W3CDTF">2024-07-08T03:11:20Z</dcterms:modified>
  <dc:title>地方标准</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2052-12.1.0.17133</vt:lpwstr>
  </property>
  <property fmtid="{D5CDD505-2E9C-101B-9397-08002B2CF9AE}" pid="15" name="ICV">
    <vt:lpwstr>8B9D6BA561DB4476BC634476E6A2E25D_12</vt:lpwstr>
  </property>
</Properties>
</file>